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B" w:rsidRPr="00313778" w:rsidRDefault="0018485A" w:rsidP="0018485A">
      <w:pPr>
        <w:spacing w:before="120" w:after="120"/>
        <w:jc w:val="center"/>
        <w:rPr>
          <w:rFonts w:ascii="Microsoft Sans Serif" w:hAnsi="Microsoft Sans Serif" w:cs="Microsoft Sans Serif"/>
          <w:b/>
          <w:sz w:val="24"/>
        </w:rPr>
      </w:pPr>
      <w:bookmarkStart w:id="0" w:name="_GoBack"/>
      <w:bookmarkEnd w:id="0"/>
      <w:r w:rsidRPr="00313778">
        <w:rPr>
          <w:rFonts w:ascii="Microsoft Sans Serif" w:hAnsi="Microsoft Sans Serif" w:cs="Microsoft Sans Serif"/>
          <w:b/>
          <w:sz w:val="24"/>
        </w:rPr>
        <w:t>Norweski Mechanizm Finansowy 2009 – 2014 (Fundusze Norweskie)</w:t>
      </w:r>
    </w:p>
    <w:p w:rsidR="00C17255" w:rsidRPr="00313778" w:rsidRDefault="0018485A" w:rsidP="0018485A">
      <w:pPr>
        <w:spacing w:before="120" w:after="120"/>
        <w:jc w:val="center"/>
        <w:rPr>
          <w:rFonts w:ascii="Verdana" w:hAnsi="Verdana"/>
          <w:b/>
          <w:bCs/>
          <w:color w:val="000000"/>
          <w:sz w:val="28"/>
          <w:shd w:val="clear" w:color="auto" w:fill="FFFFFF"/>
        </w:rPr>
      </w:pPr>
      <w:r w:rsidRPr="00313778">
        <w:rPr>
          <w:rFonts w:ascii="Verdana" w:hAnsi="Verdana"/>
          <w:b/>
          <w:bCs/>
          <w:color w:val="000000"/>
          <w:sz w:val="28"/>
          <w:shd w:val="clear" w:color="auto" w:fill="FFFFFF"/>
        </w:rPr>
        <w:t>Program „Innowacje w zakresie zielonych technologii”</w:t>
      </w:r>
      <w:r w:rsidR="00C17255" w:rsidRPr="00313778">
        <w:rPr>
          <w:rFonts w:ascii="Verdana" w:hAnsi="Verdana"/>
          <w:b/>
          <w:bCs/>
          <w:color w:val="000000"/>
          <w:sz w:val="28"/>
          <w:shd w:val="clear" w:color="auto" w:fill="FFFFFF"/>
        </w:rPr>
        <w:t xml:space="preserve"> </w:t>
      </w:r>
    </w:p>
    <w:p w:rsidR="0018485A" w:rsidRPr="00313778" w:rsidRDefault="0018485A" w:rsidP="0018485A">
      <w:pPr>
        <w:spacing w:before="120" w:after="120"/>
        <w:jc w:val="center"/>
        <w:rPr>
          <w:rFonts w:ascii="Verdana" w:hAnsi="Verdana"/>
          <w:bCs/>
          <w:color w:val="000000"/>
          <w:sz w:val="28"/>
          <w:shd w:val="clear" w:color="auto" w:fill="FFFFFF"/>
        </w:rPr>
      </w:pPr>
    </w:p>
    <w:p w:rsidR="0018485A" w:rsidRPr="00313778" w:rsidRDefault="0018485A" w:rsidP="0018485A">
      <w:pPr>
        <w:spacing w:before="120" w:after="120"/>
        <w:jc w:val="center"/>
        <w:rPr>
          <w:rFonts w:ascii="Verdana" w:hAnsi="Verdana"/>
          <w:b/>
          <w:bCs/>
          <w:color w:val="000000"/>
          <w:sz w:val="28"/>
          <w:shd w:val="clear" w:color="auto" w:fill="FFFFFF"/>
        </w:rPr>
      </w:pPr>
      <w:r w:rsidRPr="00313778">
        <w:rPr>
          <w:rFonts w:ascii="Verdana" w:hAnsi="Verdana"/>
          <w:b/>
          <w:bCs/>
          <w:color w:val="000000"/>
          <w:sz w:val="28"/>
          <w:shd w:val="clear" w:color="auto" w:fill="FFFFFF"/>
        </w:rPr>
        <w:t xml:space="preserve">Ogłoszenie o naborze wniosków  </w:t>
      </w:r>
    </w:p>
    <w:p w:rsidR="0018485A" w:rsidRPr="00313778" w:rsidRDefault="0018485A" w:rsidP="005744E0">
      <w:pPr>
        <w:spacing w:before="120" w:after="24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Program „Innowacje w zakresie zielonych technologii” (zwany dalej Programem) </w:t>
      </w:r>
      <w:r w:rsidR="00B83EEF" w:rsidRPr="00313778">
        <w:rPr>
          <w:rFonts w:ascii="Microsoft Sans Serif" w:hAnsi="Microsoft Sans Serif" w:cs="Microsoft Sans Serif"/>
        </w:rPr>
        <w:t xml:space="preserve">jest programem </w:t>
      </w:r>
      <w:r w:rsidR="00A944E0" w:rsidRPr="00313778">
        <w:rPr>
          <w:rFonts w:ascii="Microsoft Sans Serif" w:hAnsi="Microsoft Sans Serif" w:cs="Microsoft Sans Serif"/>
        </w:rPr>
        <w:t>rozwojowym dla</w:t>
      </w:r>
      <w:r w:rsidR="00B83EEF" w:rsidRPr="00313778">
        <w:rPr>
          <w:rFonts w:ascii="Microsoft Sans Serif" w:hAnsi="Microsoft Sans Serif" w:cs="Microsoft Sans Serif"/>
        </w:rPr>
        <w:t xml:space="preserve"> przedsiębiorstw</w:t>
      </w:r>
      <w:r w:rsidR="00A944E0" w:rsidRPr="00313778">
        <w:rPr>
          <w:rFonts w:ascii="Microsoft Sans Serif" w:hAnsi="Microsoft Sans Serif" w:cs="Microsoft Sans Serif"/>
        </w:rPr>
        <w:t xml:space="preserve"> </w:t>
      </w:r>
      <w:r w:rsidR="00B02DE8" w:rsidRPr="00313778">
        <w:rPr>
          <w:rFonts w:ascii="Microsoft Sans Serif" w:hAnsi="Microsoft Sans Serif" w:cs="Microsoft Sans Serif"/>
        </w:rPr>
        <w:t>mający</w:t>
      </w:r>
      <w:r w:rsidR="00A944E0" w:rsidRPr="00313778">
        <w:rPr>
          <w:rFonts w:ascii="Microsoft Sans Serif" w:hAnsi="Microsoft Sans Serif" w:cs="Microsoft Sans Serif"/>
        </w:rPr>
        <w:t>m</w:t>
      </w:r>
      <w:r w:rsidR="00B02DE8" w:rsidRPr="00313778">
        <w:rPr>
          <w:rFonts w:ascii="Microsoft Sans Serif" w:hAnsi="Microsoft Sans Serif" w:cs="Microsoft Sans Serif"/>
        </w:rPr>
        <w:t xml:space="preserve"> na celu zwiększenie konkurencyjności </w:t>
      </w:r>
      <w:r w:rsidR="00A944E0" w:rsidRPr="00313778">
        <w:rPr>
          <w:rFonts w:ascii="Microsoft Sans Serif" w:hAnsi="Microsoft Sans Serif" w:cs="Microsoft Sans Serif"/>
        </w:rPr>
        <w:t>firm przyjaznych środowisku</w:t>
      </w:r>
      <w:r w:rsidR="00B02DE8" w:rsidRPr="00313778">
        <w:rPr>
          <w:rFonts w:ascii="Microsoft Sans Serif" w:hAnsi="Microsoft Sans Serif" w:cs="Microsoft Sans Serif"/>
        </w:rPr>
        <w:t>, w</w:t>
      </w:r>
      <w:r w:rsidR="00E432A8" w:rsidRPr="00313778">
        <w:rPr>
          <w:rFonts w:ascii="Microsoft Sans Serif" w:hAnsi="Microsoft Sans Serif" w:cs="Microsoft Sans Serif"/>
        </w:rPr>
        <w:t xml:space="preserve"> tym</w:t>
      </w:r>
      <w:r w:rsidR="00B02DE8" w:rsidRPr="00313778">
        <w:rPr>
          <w:rFonts w:ascii="Microsoft Sans Serif" w:hAnsi="Microsoft Sans Serif" w:cs="Microsoft Sans Serif"/>
        </w:rPr>
        <w:t xml:space="preserve"> </w:t>
      </w:r>
      <w:r w:rsidR="00A944E0" w:rsidRPr="00313778">
        <w:rPr>
          <w:rFonts w:ascii="Microsoft Sans Serif" w:hAnsi="Microsoft Sans Serif" w:cs="Microsoft Sans Serif"/>
        </w:rPr>
        <w:t xml:space="preserve">ekologizację istniejących branż przemysłu </w:t>
      </w:r>
      <w:r w:rsidR="00B02DE8" w:rsidRPr="00313778">
        <w:rPr>
          <w:rFonts w:ascii="Microsoft Sans Serif" w:hAnsi="Microsoft Sans Serif" w:cs="Microsoft Sans Serif"/>
        </w:rPr>
        <w:t xml:space="preserve">i </w:t>
      </w:r>
      <w:r w:rsidR="00A944E0" w:rsidRPr="00313778">
        <w:rPr>
          <w:rFonts w:ascii="Microsoft Sans Serif" w:hAnsi="Microsoft Sans Serif" w:cs="Microsoft Sans Serif"/>
        </w:rPr>
        <w:t>innowacje w zakresie zielonych technologii</w:t>
      </w:r>
      <w:r w:rsidR="00B02DE8" w:rsidRPr="00313778">
        <w:rPr>
          <w:rFonts w:ascii="Microsoft Sans Serif" w:hAnsi="Microsoft Sans Serif" w:cs="Microsoft Sans Serif"/>
        </w:rPr>
        <w:t xml:space="preserve">.  </w:t>
      </w:r>
    </w:p>
    <w:p w:rsidR="005974BF" w:rsidRPr="00313778" w:rsidRDefault="00E432A8" w:rsidP="005744E0">
      <w:pPr>
        <w:spacing w:before="120" w:after="24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Hasłem</w:t>
      </w:r>
      <w:r w:rsidR="00834FC3" w:rsidRPr="00313778">
        <w:rPr>
          <w:rFonts w:ascii="Microsoft Sans Serif" w:hAnsi="Microsoft Sans Serif" w:cs="Microsoft Sans Serif"/>
        </w:rPr>
        <w:t xml:space="preserve"> Programu Innowacji w zakresie zielonych technologii jest: </w:t>
      </w:r>
      <w:r w:rsidRPr="00313778">
        <w:rPr>
          <w:rFonts w:ascii="Microsoft Sans Serif" w:hAnsi="Microsoft Sans Serif" w:cs="Microsoft Sans Serif"/>
        </w:rPr>
        <w:t>„</w:t>
      </w:r>
      <w:r w:rsidR="00834FC3" w:rsidRPr="00313778">
        <w:rPr>
          <w:rFonts w:ascii="Microsoft Sans Serif" w:hAnsi="Microsoft Sans Serif" w:cs="Microsoft Sans Serif"/>
        </w:rPr>
        <w:t xml:space="preserve">Dobre dla biznesu </w:t>
      </w:r>
      <w:r w:rsidRPr="00313778">
        <w:rPr>
          <w:rFonts w:ascii="Microsoft Sans Serif" w:hAnsi="Microsoft Sans Serif" w:cs="Microsoft Sans Serif"/>
        </w:rPr>
        <w:t>-</w:t>
      </w:r>
      <w:r w:rsidR="00834FC3" w:rsidRPr="00313778">
        <w:rPr>
          <w:rFonts w:ascii="Microsoft Sans Serif" w:hAnsi="Microsoft Sans Serif" w:cs="Microsoft Sans Serif"/>
        </w:rPr>
        <w:t xml:space="preserve"> dobre dla środowiska</w:t>
      </w:r>
      <w:r w:rsidRPr="00313778">
        <w:rPr>
          <w:rFonts w:ascii="Microsoft Sans Serif" w:hAnsi="Microsoft Sans Serif" w:cs="Microsoft Sans Serif"/>
        </w:rPr>
        <w:t>”</w:t>
      </w:r>
      <w:r w:rsidR="00834FC3" w:rsidRPr="00313778">
        <w:rPr>
          <w:rFonts w:ascii="Microsoft Sans Serif" w:hAnsi="Microsoft Sans Serif" w:cs="Microsoft Sans Serif"/>
        </w:rPr>
        <w:t xml:space="preserve">.  </w:t>
      </w:r>
      <w:r w:rsidR="00260FC7" w:rsidRPr="00313778">
        <w:rPr>
          <w:rFonts w:ascii="Microsoft Sans Serif" w:hAnsi="Microsoft Sans Serif" w:cs="Microsoft Sans Serif"/>
        </w:rPr>
        <w:t>Celem w</w:t>
      </w:r>
      <w:r w:rsidR="00834FC3" w:rsidRPr="00313778">
        <w:rPr>
          <w:rFonts w:ascii="Microsoft Sans Serif" w:hAnsi="Microsoft Sans Serif" w:cs="Microsoft Sans Serif"/>
        </w:rPr>
        <w:t>szystki</w:t>
      </w:r>
      <w:r w:rsidR="00260FC7" w:rsidRPr="00313778">
        <w:rPr>
          <w:rFonts w:ascii="Microsoft Sans Serif" w:hAnsi="Microsoft Sans Serif" w:cs="Microsoft Sans Serif"/>
        </w:rPr>
        <w:t>ch</w:t>
      </w:r>
      <w:r w:rsidR="00834FC3" w:rsidRPr="00313778">
        <w:rPr>
          <w:rFonts w:ascii="Microsoft Sans Serif" w:hAnsi="Microsoft Sans Serif" w:cs="Microsoft Sans Serif"/>
        </w:rPr>
        <w:t xml:space="preserve"> projekt</w:t>
      </w:r>
      <w:r w:rsidR="00260FC7" w:rsidRPr="00313778">
        <w:rPr>
          <w:rFonts w:ascii="Microsoft Sans Serif" w:hAnsi="Microsoft Sans Serif" w:cs="Microsoft Sans Serif"/>
        </w:rPr>
        <w:t>ów</w:t>
      </w:r>
      <w:r w:rsidR="00834FC3" w:rsidRPr="00313778">
        <w:rPr>
          <w:rFonts w:ascii="Microsoft Sans Serif" w:hAnsi="Microsoft Sans Serif" w:cs="Microsoft Sans Serif"/>
        </w:rPr>
        <w:t xml:space="preserve">, które </w:t>
      </w:r>
      <w:r w:rsidR="00260FC7" w:rsidRPr="00313778">
        <w:rPr>
          <w:rFonts w:ascii="Microsoft Sans Serif" w:hAnsi="Microsoft Sans Serif" w:cs="Microsoft Sans Serif"/>
        </w:rPr>
        <w:t>otrzymają finansowanie w ramach tego Programu musi być docelowo poprawa wyników przedsiębiorstwa w zakresie działań pro-ekologicznych</w:t>
      </w:r>
      <w:r w:rsidR="005744E0" w:rsidRPr="00313778">
        <w:rPr>
          <w:rFonts w:ascii="Microsoft Sans Serif" w:hAnsi="Microsoft Sans Serif" w:cs="Microsoft Sans Serif"/>
        </w:rPr>
        <w:t xml:space="preserve"> firmy</w:t>
      </w:r>
      <w:r w:rsidR="00260FC7" w:rsidRPr="00313778">
        <w:rPr>
          <w:rFonts w:ascii="Microsoft Sans Serif" w:hAnsi="Microsoft Sans Serif" w:cs="Microsoft Sans Serif"/>
        </w:rPr>
        <w:t xml:space="preserve">.  </w:t>
      </w:r>
    </w:p>
    <w:p w:rsidR="005744E0" w:rsidRPr="00313778" w:rsidRDefault="005744E0" w:rsidP="005744E0">
      <w:pPr>
        <w:spacing w:before="120" w:after="24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Szczególnym efektem Programu </w:t>
      </w:r>
      <w:r w:rsidR="00E432A8" w:rsidRPr="00313778">
        <w:rPr>
          <w:rFonts w:ascii="Microsoft Sans Serif" w:hAnsi="Microsoft Sans Serif" w:cs="Microsoft Sans Serif"/>
        </w:rPr>
        <w:t>ma być</w:t>
      </w:r>
      <w:r w:rsidRPr="00313778">
        <w:rPr>
          <w:rFonts w:ascii="Microsoft Sans Serif" w:hAnsi="Microsoft Sans Serif" w:cs="Microsoft Sans Serif"/>
        </w:rPr>
        <w:t xml:space="preserve"> „Realizacja możliwości </w:t>
      </w:r>
      <w:r w:rsidR="00E432A8" w:rsidRPr="00313778">
        <w:rPr>
          <w:rFonts w:ascii="Microsoft Sans Serif" w:hAnsi="Microsoft Sans Serif" w:cs="Microsoft Sans Serif"/>
        </w:rPr>
        <w:t xml:space="preserve">rozwoju </w:t>
      </w:r>
      <w:r w:rsidRPr="00313778">
        <w:rPr>
          <w:rFonts w:ascii="Microsoft Sans Serif" w:hAnsi="Microsoft Sans Serif" w:cs="Microsoft Sans Serif"/>
        </w:rPr>
        <w:t xml:space="preserve">w zakresie </w:t>
      </w:r>
      <w:r w:rsidR="00E432A8" w:rsidRPr="00313778">
        <w:rPr>
          <w:rFonts w:ascii="Microsoft Sans Serif" w:hAnsi="Microsoft Sans Serif" w:cs="Microsoft Sans Serif"/>
        </w:rPr>
        <w:t>ekologizacji</w:t>
      </w:r>
      <w:r w:rsidRPr="00313778">
        <w:rPr>
          <w:rFonts w:ascii="Microsoft Sans Serif" w:hAnsi="Microsoft Sans Serif" w:cs="Microsoft Sans Serif"/>
        </w:rPr>
        <w:t xml:space="preserve"> gospodarki europejskiej”.</w:t>
      </w:r>
    </w:p>
    <w:p w:rsidR="005744E0" w:rsidRPr="00313778" w:rsidRDefault="005744E0" w:rsidP="005744E0">
      <w:pPr>
        <w:spacing w:before="120" w:after="24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Operatorem Programu jest Innovation Norway, norweska </w:t>
      </w:r>
      <w:r w:rsidR="00E432A8" w:rsidRPr="00313778">
        <w:rPr>
          <w:rFonts w:ascii="Microsoft Sans Serif" w:hAnsi="Microsoft Sans Serif" w:cs="Microsoft Sans Serif"/>
        </w:rPr>
        <w:t>instytucja</w:t>
      </w:r>
      <w:r w:rsidRPr="00313778">
        <w:rPr>
          <w:rFonts w:ascii="Microsoft Sans Serif" w:hAnsi="Microsoft Sans Serif" w:cs="Microsoft Sans Serif"/>
        </w:rPr>
        <w:t xml:space="preserve"> państwowa podlegająca Ministerstwu Handlu i Przemysłu oraz </w:t>
      </w:r>
      <w:r w:rsidR="007F5FA5" w:rsidRPr="00313778">
        <w:rPr>
          <w:rFonts w:ascii="Microsoft Sans Serif" w:hAnsi="Microsoft Sans Serif" w:cs="Microsoft Sans Serif"/>
        </w:rPr>
        <w:t>norweskim władzom samorządowym</w:t>
      </w:r>
      <w:r w:rsidR="00CB5536" w:rsidRPr="00313778">
        <w:rPr>
          <w:rFonts w:ascii="Microsoft Sans Serif" w:hAnsi="Microsoft Sans Serif" w:cs="Microsoft Sans Serif"/>
        </w:rPr>
        <w:t xml:space="preserve">.  </w:t>
      </w:r>
    </w:p>
    <w:p w:rsidR="001A5760" w:rsidRPr="00313778" w:rsidRDefault="00FE6365" w:rsidP="005744E0">
      <w:pPr>
        <w:spacing w:before="120" w:after="24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Podczas wdrażania </w:t>
      </w:r>
      <w:r w:rsidR="00717EEB" w:rsidRPr="00313778">
        <w:rPr>
          <w:rFonts w:ascii="Microsoft Sans Serif" w:hAnsi="Microsoft Sans Serif" w:cs="Microsoft Sans Serif"/>
        </w:rPr>
        <w:t xml:space="preserve">Funduszy Norweskich </w:t>
      </w:r>
      <w:r w:rsidRPr="00313778">
        <w:rPr>
          <w:rFonts w:ascii="Microsoft Sans Serif" w:hAnsi="Microsoft Sans Serif" w:cs="Microsoft Sans Serif"/>
        </w:rPr>
        <w:t xml:space="preserve">stosuje się najwyższy stopień </w:t>
      </w:r>
      <w:r w:rsidR="00CD7956" w:rsidRPr="00313778">
        <w:rPr>
          <w:rFonts w:ascii="Microsoft Sans Serif" w:hAnsi="Microsoft Sans Serif" w:cs="Microsoft Sans Serif"/>
        </w:rPr>
        <w:t xml:space="preserve">przejrzystości, odpowiedzialności </w:t>
      </w:r>
      <w:r w:rsidRPr="00313778">
        <w:rPr>
          <w:rFonts w:ascii="Microsoft Sans Serif" w:hAnsi="Microsoft Sans Serif" w:cs="Microsoft Sans Serif"/>
        </w:rPr>
        <w:t>i gospodarności</w:t>
      </w:r>
      <w:r w:rsidR="00CD7956" w:rsidRPr="00313778">
        <w:rPr>
          <w:rFonts w:ascii="Microsoft Sans Serif" w:hAnsi="Microsoft Sans Serif" w:cs="Microsoft Sans Serif"/>
        </w:rPr>
        <w:t xml:space="preserve">, a także </w:t>
      </w:r>
      <w:r w:rsidR="00E432A8" w:rsidRPr="00313778">
        <w:rPr>
          <w:rFonts w:ascii="Microsoft Sans Serif" w:hAnsi="Microsoft Sans Serif" w:cs="Microsoft Sans Serif"/>
        </w:rPr>
        <w:t xml:space="preserve">z </w:t>
      </w:r>
      <w:r w:rsidR="00CD7956" w:rsidRPr="00313778">
        <w:rPr>
          <w:rFonts w:ascii="Microsoft Sans Serif" w:hAnsi="Microsoft Sans Serif" w:cs="Microsoft Sans Serif"/>
        </w:rPr>
        <w:t>zasad</w:t>
      </w:r>
      <w:r w:rsidRPr="00313778">
        <w:rPr>
          <w:rFonts w:ascii="Microsoft Sans Serif" w:hAnsi="Microsoft Sans Serif" w:cs="Microsoft Sans Serif"/>
        </w:rPr>
        <w:t>y</w:t>
      </w:r>
      <w:r w:rsidR="00DC08B2">
        <w:rPr>
          <w:rFonts w:ascii="Microsoft Sans Serif" w:hAnsi="Microsoft Sans Serif" w:cs="Microsoft Sans Serif"/>
        </w:rPr>
        <w:t xml:space="preserve"> </w:t>
      </w:r>
      <w:r w:rsidR="00CD7956" w:rsidRPr="00313778">
        <w:rPr>
          <w:rFonts w:ascii="Microsoft Sans Serif" w:hAnsi="Microsoft Sans Serif" w:cs="Microsoft Sans Serif"/>
        </w:rPr>
        <w:t>dobrego rządzenia, zrównoważonego rozwoju, równ</w:t>
      </w:r>
      <w:r w:rsidR="00EA01A0" w:rsidRPr="00313778">
        <w:rPr>
          <w:rFonts w:ascii="Microsoft Sans Serif" w:hAnsi="Microsoft Sans Serif" w:cs="Microsoft Sans Serif"/>
        </w:rPr>
        <w:t xml:space="preserve">ego statusu </w:t>
      </w:r>
      <w:r w:rsidR="00CD7956" w:rsidRPr="00313778">
        <w:rPr>
          <w:rFonts w:ascii="Microsoft Sans Serif" w:hAnsi="Microsoft Sans Serif" w:cs="Microsoft Sans Serif"/>
        </w:rPr>
        <w:t xml:space="preserve">płci i równości szans.   </w:t>
      </w:r>
    </w:p>
    <w:p w:rsidR="00CD0A65" w:rsidRPr="00313778" w:rsidRDefault="00CD0A65" w:rsidP="005744E0">
      <w:pPr>
        <w:spacing w:before="120" w:after="240"/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 xml:space="preserve">Całkowita kwota alokacji na współfinansowanie projektów w tym Programie wynosi 17 783 000 Euro w ramach </w:t>
      </w:r>
      <w:r w:rsidR="00F9665F" w:rsidRPr="00313778">
        <w:rPr>
          <w:rFonts w:ascii="Microsoft Sans Serif" w:hAnsi="Microsoft Sans Serif" w:cs="Microsoft Sans Serif"/>
          <w:b/>
        </w:rPr>
        <w:t>Indywidualnego Schematu Grant</w:t>
      </w:r>
      <w:r w:rsidR="00900074">
        <w:rPr>
          <w:rFonts w:ascii="Microsoft Sans Serif" w:hAnsi="Microsoft Sans Serif" w:cs="Microsoft Sans Serif"/>
          <w:b/>
        </w:rPr>
        <w:t>o</w:t>
      </w:r>
      <w:r w:rsidR="00F9665F" w:rsidRPr="00313778">
        <w:rPr>
          <w:rFonts w:ascii="Microsoft Sans Serif" w:hAnsi="Microsoft Sans Serif" w:cs="Microsoft Sans Serif"/>
          <w:b/>
        </w:rPr>
        <w:t xml:space="preserve">wego </w:t>
      </w:r>
      <w:r w:rsidRPr="00313778">
        <w:rPr>
          <w:rFonts w:ascii="Microsoft Sans Serif" w:hAnsi="Microsoft Sans Serif" w:cs="Microsoft Sans Serif"/>
          <w:b/>
        </w:rPr>
        <w:t xml:space="preserve">Systemu Projektów Indywidualnych.  Nabór wniosków kończy się dnia 28 maja 2014 r. o godz. 13.00. </w:t>
      </w:r>
    </w:p>
    <w:p w:rsidR="00CB5536" w:rsidRPr="00313778" w:rsidRDefault="00CD0A65" w:rsidP="005744E0">
      <w:pPr>
        <w:spacing w:before="120" w:after="240"/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 xml:space="preserve">Ponadto w ramach Programu można będzie ubiegać się o refundację kosztów podróży związanych z przygotowaniem wniosków.  Na ten cel przeznaczono 75 000 Euro.  Wnioski o dofinansowanie kosztów podróży będą rozpatrywane według kolejności zgłoszenia.  Termin składania wniosków upływa dnia 30 kwietnia 2014 r.  </w:t>
      </w:r>
    </w:p>
    <w:p w:rsidR="00532E31" w:rsidRPr="00313778" w:rsidRDefault="00532E31" w:rsidP="00532E31">
      <w:pPr>
        <w:spacing w:before="120"/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>UWAGA:</w:t>
      </w:r>
    </w:p>
    <w:p w:rsidR="00532E31" w:rsidRPr="00313778" w:rsidRDefault="00532E31" w:rsidP="00532E31">
      <w:pPr>
        <w:spacing w:after="240"/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 xml:space="preserve">Treść niniejszego ogłoszenia o naborze wniosków należy czytać razem z Zasadami i Procedurami dotyczącymi wdrażania Programu „Innowacje w zakresie zielonych technologii” </w:t>
      </w:r>
    </w:p>
    <w:p w:rsidR="00A04144" w:rsidRPr="00313778" w:rsidRDefault="00A04144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br w:type="page"/>
      </w:r>
    </w:p>
    <w:p w:rsidR="005744E0" w:rsidRPr="00313778" w:rsidRDefault="0063336D" w:rsidP="0063336D">
      <w:pPr>
        <w:spacing w:before="120" w:after="120"/>
        <w:jc w:val="center"/>
        <w:rPr>
          <w:rFonts w:ascii="Microsoft Sans Serif" w:hAnsi="Microsoft Sans Serif" w:cs="Microsoft Sans Serif"/>
          <w:b/>
          <w:color w:val="0070C0"/>
          <w:sz w:val="28"/>
        </w:rPr>
      </w:pPr>
      <w:r w:rsidRPr="00313778">
        <w:rPr>
          <w:rFonts w:ascii="Microsoft Sans Serif" w:hAnsi="Microsoft Sans Serif" w:cs="Microsoft Sans Serif"/>
          <w:b/>
          <w:color w:val="0070C0"/>
          <w:sz w:val="28"/>
        </w:rPr>
        <w:lastRenderedPageBreak/>
        <w:t>Spis treści</w:t>
      </w:r>
    </w:p>
    <w:p w:rsidR="0063336D" w:rsidRPr="00313778" w:rsidRDefault="0063336D" w:rsidP="0018485A">
      <w:pPr>
        <w:spacing w:before="120" w:after="120"/>
        <w:rPr>
          <w:rFonts w:ascii="Microsoft Sans Serif" w:hAnsi="Microsoft Sans Serif" w:cs="Microsoft Sans Serif"/>
        </w:rPr>
      </w:pPr>
    </w:p>
    <w:p w:rsidR="00D51544" w:rsidRPr="00313778" w:rsidRDefault="00D51544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r w:rsidRPr="00313778">
        <w:rPr>
          <w:rFonts w:ascii="Microsoft Sans Serif" w:hAnsi="Microsoft Sans Serif" w:cs="Microsoft Sans Serif"/>
        </w:rPr>
        <w:fldChar w:fldCharType="begin"/>
      </w:r>
      <w:r w:rsidRPr="00313778">
        <w:rPr>
          <w:rFonts w:ascii="Microsoft Sans Serif" w:hAnsi="Microsoft Sans Serif" w:cs="Microsoft Sans Serif"/>
        </w:rPr>
        <w:instrText xml:space="preserve"> TOC \o "1-2" \h \z \u </w:instrText>
      </w:r>
      <w:r w:rsidRPr="00313778">
        <w:rPr>
          <w:rFonts w:ascii="Microsoft Sans Serif" w:hAnsi="Microsoft Sans Serif" w:cs="Microsoft Sans Serif"/>
        </w:rPr>
        <w:fldChar w:fldCharType="separate"/>
      </w:r>
      <w:hyperlink w:anchor="_Toc381611284" w:history="1">
        <w:r w:rsidRPr="00313778">
          <w:rPr>
            <w:rStyle w:val="Hipercze"/>
            <w:rFonts w:ascii="Microsoft Sans Serif" w:hAnsi="Microsoft Sans Serif" w:cs="Microsoft Sans Serif"/>
            <w:noProof/>
          </w:rPr>
          <w:t>1.  Ogólne informacje o Programie „Innowacje w zakresie zielonych technologii”</w:t>
        </w:r>
        <w:r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_Toc381611284 \h </w:instrText>
        </w:r>
        <w:r w:rsidRPr="00313778">
          <w:rPr>
            <w:rFonts w:ascii="Microsoft Sans Serif" w:hAnsi="Microsoft Sans Serif" w:cs="Microsoft Sans Serif"/>
            <w:noProof/>
            <w:webHidden/>
          </w:rPr>
        </w:r>
        <w:r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3</w:t>
        </w:r>
        <w:r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85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2.   Działania kwalifikowalne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_Toc381611285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5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86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3.  Uprawnieni wnioskodawcy i partnerzy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_Toc381611286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5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2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87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3.1.  Uprawnieni wnioskodawcy: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_Toc381611287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5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2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88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3.2.   Uprawnieni partnerzy: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_Toc381611288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6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2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89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3.3  Dodatkowe kryteria dla wnioskodawców i partnerów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_Toc381611289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6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0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4.   Minimalna i maksymalna kwota dofinansowania na projekt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_Toc381611290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6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1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 xml:space="preserve">5.   </w:t>
        </w:r>
        <w:r w:rsidR="00F9665F" w:rsidRPr="00313778">
          <w:rPr>
            <w:rStyle w:val="Hipercze"/>
            <w:rFonts w:ascii="Microsoft Sans Serif" w:hAnsi="Microsoft Sans Serif" w:cs="Microsoft Sans Serif"/>
            <w:noProof/>
          </w:rPr>
          <w:t>Poziom grantu</w:t>
        </w:r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 xml:space="preserve"> i górna granica współfinansowania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_Toc381611291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7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2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6.  Czas trwania projektów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_Toc381611292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7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3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7.  Kwalifikowalność kosztów w projektach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_Toc381611293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7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4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8.   Zamówienia publiczne i pomoc publiczna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_Toc381611294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8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5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9.   Dofinansowanie podróży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_Toc381611295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8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2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6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9.1   Uprawnieni wnioskodawcy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_Toc381611296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8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7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10.  Kryteria oceny wniosków i metodologia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_Toc381611297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9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8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11.  Sposób płatności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_Toc381611298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12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299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12.  Procedura składania wniosku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_Toc381611299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12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300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13.  Dokumenty o szczególnym znaczeniu dla naboru / lektura obowiązkowa: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_Toc381611300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12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CE4992">
      <w:pPr>
        <w:pStyle w:val="Spistreci1"/>
        <w:tabs>
          <w:tab w:val="right" w:leader="dot" w:pos="9062"/>
        </w:tabs>
        <w:rPr>
          <w:rFonts w:ascii="Microsoft Sans Serif" w:hAnsi="Microsoft Sans Serif" w:cs="Microsoft Sans Serif"/>
          <w:noProof/>
        </w:rPr>
      </w:pPr>
      <w:hyperlink w:anchor="_Toc381611301" w:history="1">
        <w:r w:rsidR="00D51544" w:rsidRPr="00313778">
          <w:rPr>
            <w:rStyle w:val="Hipercze"/>
            <w:rFonts w:ascii="Microsoft Sans Serif" w:hAnsi="Microsoft Sans Serif" w:cs="Microsoft Sans Serif"/>
            <w:noProof/>
          </w:rPr>
          <w:t>14.   Zapytania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tab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begin"/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instrText xml:space="preserve"> PAGEREF _Toc381611301 \h </w:instrTex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separate"/>
        </w:r>
        <w:r w:rsidR="006D509E" w:rsidRPr="00313778">
          <w:rPr>
            <w:rFonts w:ascii="Microsoft Sans Serif" w:hAnsi="Microsoft Sans Serif" w:cs="Microsoft Sans Serif"/>
            <w:noProof/>
            <w:webHidden/>
          </w:rPr>
          <w:t>13</w:t>
        </w:r>
        <w:r w:rsidR="00D51544" w:rsidRPr="00313778">
          <w:rPr>
            <w:rFonts w:ascii="Microsoft Sans Serif" w:hAnsi="Microsoft Sans Serif" w:cs="Microsoft Sans Serif"/>
            <w:noProof/>
            <w:webHidden/>
          </w:rPr>
          <w:fldChar w:fldCharType="end"/>
        </w:r>
      </w:hyperlink>
    </w:p>
    <w:p w:rsidR="00D51544" w:rsidRPr="00313778" w:rsidRDefault="00D51544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fldChar w:fldCharType="end"/>
      </w:r>
    </w:p>
    <w:p w:rsidR="0063336D" w:rsidRPr="00313778" w:rsidRDefault="006333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br w:type="page"/>
      </w:r>
    </w:p>
    <w:p w:rsidR="0063336D" w:rsidRPr="00313778" w:rsidRDefault="0063336D" w:rsidP="0063336D">
      <w:pPr>
        <w:pStyle w:val="Nagwek1"/>
      </w:pPr>
      <w:bookmarkStart w:id="1" w:name="_Toc381611284"/>
      <w:r w:rsidRPr="00313778">
        <w:lastRenderedPageBreak/>
        <w:t>1.  Ogólne informacje o Programie „Innowacje w zakresie zielonych technologii”</w:t>
      </w:r>
      <w:bookmarkEnd w:id="1"/>
    </w:p>
    <w:p w:rsidR="0063336D" w:rsidRPr="00313778" w:rsidRDefault="0063336D" w:rsidP="0018485A">
      <w:pPr>
        <w:spacing w:before="120" w:after="120"/>
        <w:rPr>
          <w:rFonts w:ascii="Microsoft Sans Serif" w:hAnsi="Microsoft Sans Serif" w:cs="Microsoft Sans Serif"/>
        </w:rPr>
      </w:pPr>
    </w:p>
    <w:p w:rsidR="0063336D" w:rsidRPr="00313778" w:rsidRDefault="0063336D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Program „Innowacje w zakresie zielonych technologii” </w:t>
      </w:r>
      <w:r w:rsidRPr="00313778">
        <w:rPr>
          <w:rFonts w:ascii="Microsoft Sans Serif" w:hAnsi="Microsoft Sans Serif" w:cs="Microsoft Sans Serif"/>
        </w:rPr>
        <w:t xml:space="preserve">jest </w:t>
      </w:r>
      <w:r w:rsidR="007F5CB1" w:rsidRPr="00313778">
        <w:rPr>
          <w:rFonts w:ascii="Microsoft Sans Serif" w:hAnsi="Microsoft Sans Serif" w:cs="Microsoft Sans Serif"/>
        </w:rPr>
        <w:t xml:space="preserve">obszarem programowym realizowanym w ramach Norweskiego Mechanizmu Finansowego 2009 – 2014 (Fundusze Norweskie) i ma on na celu przyczynić się do zmniejszania różnic ekonomicznych i społecznych w obrębie Europejskiego Obszaru Gospodarczego oraz wzmacniania stosunków dwustronnych pomiędzy Polską i Norwegią.  </w:t>
      </w:r>
    </w:p>
    <w:p w:rsidR="007F5CB1" w:rsidRPr="00313778" w:rsidRDefault="007F5CB1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 ramach obecnego naboru wnioskodawcy i ich partnerzy będą mogli skorzystać z </w:t>
      </w:r>
      <w:r w:rsidR="00F9665F" w:rsidRPr="00313778">
        <w:rPr>
          <w:rFonts w:ascii="Microsoft Sans Serif" w:hAnsi="Microsoft Sans Serif" w:cs="Microsoft Sans Serif"/>
        </w:rPr>
        <w:t xml:space="preserve">Indywidualnego Schematu Grantowego </w:t>
      </w:r>
      <w:r w:rsidR="00134D70" w:rsidRPr="00313778">
        <w:rPr>
          <w:rFonts w:ascii="Microsoft Sans Serif" w:hAnsi="Microsoft Sans Serif" w:cs="Microsoft Sans Serif"/>
        </w:rPr>
        <w:t xml:space="preserve">Systemu </w:t>
      </w:r>
      <w:r w:rsidRPr="00313778">
        <w:rPr>
          <w:rFonts w:ascii="Microsoft Sans Serif" w:hAnsi="Microsoft Sans Serif" w:cs="Microsoft Sans Serif"/>
        </w:rPr>
        <w:t>Projektów</w:t>
      </w:r>
      <w:r w:rsidR="00134D70" w:rsidRPr="00313778">
        <w:rPr>
          <w:rFonts w:ascii="Microsoft Sans Serif" w:hAnsi="Microsoft Sans Serif" w:cs="Microsoft Sans Serif"/>
        </w:rPr>
        <w:t xml:space="preserve"> Indywidualnych</w:t>
      </w:r>
      <w:r w:rsidRPr="00313778">
        <w:rPr>
          <w:rFonts w:ascii="Microsoft Sans Serif" w:hAnsi="Microsoft Sans Serif" w:cs="Microsoft Sans Serif"/>
        </w:rPr>
        <w:t>.  Ponadto, będą oni mieli możliwość ubiega</w:t>
      </w:r>
      <w:r w:rsidR="007E4C07" w:rsidRPr="00313778">
        <w:rPr>
          <w:rFonts w:ascii="Microsoft Sans Serif" w:hAnsi="Microsoft Sans Serif" w:cs="Microsoft Sans Serif"/>
        </w:rPr>
        <w:t>nia</w:t>
      </w:r>
      <w:r w:rsidRPr="00313778">
        <w:rPr>
          <w:rFonts w:ascii="Microsoft Sans Serif" w:hAnsi="Microsoft Sans Serif" w:cs="Microsoft Sans Serif"/>
        </w:rPr>
        <w:t xml:space="preserve"> się o sfinansowanie kosztów </w:t>
      </w:r>
      <w:r w:rsidR="007E4C07" w:rsidRPr="00313778">
        <w:rPr>
          <w:rFonts w:ascii="Microsoft Sans Serif" w:hAnsi="Microsoft Sans Serif" w:cs="Microsoft Sans Serif"/>
        </w:rPr>
        <w:t>podróży</w:t>
      </w:r>
      <w:r w:rsidRPr="00313778">
        <w:rPr>
          <w:rFonts w:ascii="Microsoft Sans Serif" w:hAnsi="Microsoft Sans Serif" w:cs="Microsoft Sans Serif"/>
        </w:rPr>
        <w:t xml:space="preserve"> w ramach </w:t>
      </w:r>
      <w:r w:rsidR="007E4C07" w:rsidRPr="00313778">
        <w:rPr>
          <w:rFonts w:ascii="Microsoft Sans Serif" w:hAnsi="Microsoft Sans Serif" w:cs="Microsoft Sans Serif"/>
        </w:rPr>
        <w:t>instrumentu Dofinansowanie Podróży („Travel Support”).</w:t>
      </w:r>
    </w:p>
    <w:p w:rsidR="00403600" w:rsidRPr="00313778" w:rsidRDefault="007E4C07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Podmioty polskie i norweskie będą uprawnione do aplikowania o </w:t>
      </w:r>
      <w:r w:rsidR="00E03FE1" w:rsidRPr="00313778">
        <w:rPr>
          <w:rFonts w:ascii="Microsoft Sans Serif" w:hAnsi="Microsoft Sans Serif" w:cs="Microsoft Sans Serif"/>
        </w:rPr>
        <w:t>d</w:t>
      </w:r>
      <w:r w:rsidRPr="00313778">
        <w:rPr>
          <w:rFonts w:ascii="Microsoft Sans Serif" w:hAnsi="Microsoft Sans Serif" w:cs="Microsoft Sans Serif"/>
        </w:rPr>
        <w:t>ofinansowanie w wysokości 1 200 Euro na każdy podmiot</w:t>
      </w:r>
      <w:r w:rsidR="00E03FE1" w:rsidRPr="00313778">
        <w:rPr>
          <w:rFonts w:ascii="Microsoft Sans Serif" w:hAnsi="Microsoft Sans Serif" w:cs="Microsoft Sans Serif"/>
        </w:rPr>
        <w:t xml:space="preserve"> w celu pokrycia kosztów podróży służących </w:t>
      </w:r>
      <w:r w:rsidR="007F5FA5" w:rsidRPr="00313778">
        <w:rPr>
          <w:rFonts w:ascii="Microsoft Sans Serif" w:hAnsi="Microsoft Sans Serif" w:cs="Microsoft Sans Serif"/>
        </w:rPr>
        <w:t>nawiązani</w:t>
      </w:r>
      <w:r w:rsidR="00E03FE1" w:rsidRPr="00313778">
        <w:rPr>
          <w:rFonts w:ascii="Microsoft Sans Serif" w:hAnsi="Microsoft Sans Serif" w:cs="Microsoft Sans Serif"/>
        </w:rPr>
        <w:t>u</w:t>
      </w:r>
      <w:r w:rsidRPr="00313778">
        <w:rPr>
          <w:rFonts w:ascii="Microsoft Sans Serif" w:hAnsi="Microsoft Sans Serif" w:cs="Microsoft Sans Serif"/>
        </w:rPr>
        <w:t xml:space="preserve"> partnerstw</w:t>
      </w:r>
      <w:r w:rsidR="007F5FA5" w:rsidRPr="00313778">
        <w:rPr>
          <w:rFonts w:ascii="Microsoft Sans Serif" w:hAnsi="Microsoft Sans Serif" w:cs="Microsoft Sans Serif"/>
        </w:rPr>
        <w:t>a</w:t>
      </w:r>
      <w:r w:rsidRPr="00313778">
        <w:rPr>
          <w:rFonts w:ascii="Microsoft Sans Serif" w:hAnsi="Microsoft Sans Serif" w:cs="Microsoft Sans Serif"/>
        </w:rPr>
        <w:t xml:space="preserve"> oraz przygotowani</w:t>
      </w:r>
      <w:r w:rsidR="00E03FE1" w:rsidRPr="00313778">
        <w:rPr>
          <w:rFonts w:ascii="Microsoft Sans Serif" w:hAnsi="Microsoft Sans Serif" w:cs="Microsoft Sans Serif"/>
        </w:rPr>
        <w:t>u</w:t>
      </w:r>
      <w:r w:rsidRPr="00313778">
        <w:rPr>
          <w:rFonts w:ascii="Microsoft Sans Serif" w:hAnsi="Microsoft Sans Serif" w:cs="Microsoft Sans Serif"/>
        </w:rPr>
        <w:t xml:space="preserve"> </w:t>
      </w:r>
      <w:r w:rsidR="00403600" w:rsidRPr="00313778">
        <w:rPr>
          <w:rFonts w:ascii="Microsoft Sans Serif" w:hAnsi="Microsoft Sans Serif" w:cs="Microsoft Sans Serif"/>
        </w:rPr>
        <w:t xml:space="preserve">wspólnego </w:t>
      </w:r>
      <w:r w:rsidRPr="00313778">
        <w:rPr>
          <w:rFonts w:ascii="Microsoft Sans Serif" w:hAnsi="Microsoft Sans Serif" w:cs="Microsoft Sans Serif"/>
        </w:rPr>
        <w:t xml:space="preserve">wniosku </w:t>
      </w:r>
      <w:r w:rsidR="006455B2" w:rsidRPr="00313778">
        <w:rPr>
          <w:rFonts w:ascii="Microsoft Sans Serif" w:hAnsi="Microsoft Sans Serif" w:cs="Microsoft Sans Serif"/>
        </w:rPr>
        <w:t xml:space="preserve">z partnerem z kraju darczyńcy. </w:t>
      </w:r>
    </w:p>
    <w:p w:rsidR="007E4C07" w:rsidRPr="00313778" w:rsidRDefault="00403600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i/>
        </w:rPr>
        <w:t>W niniejszym Programie stosowane są następujące definicje</w:t>
      </w:r>
      <w:r w:rsidRPr="00313778">
        <w:rPr>
          <w:rFonts w:ascii="Microsoft Sans Serif" w:hAnsi="Microsoft Sans Serif" w:cs="Microsoft Sans Serif"/>
        </w:rPr>
        <w:t xml:space="preserve">: </w:t>
      </w:r>
    </w:p>
    <w:p w:rsidR="00403600" w:rsidRPr="00313778" w:rsidRDefault="00403600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Technologie przyjazne środowisku</w:t>
      </w:r>
      <w:r w:rsidRPr="00313778">
        <w:rPr>
          <w:rFonts w:ascii="Microsoft Sans Serif" w:hAnsi="Microsoft Sans Serif" w:cs="Microsoft Sans Serif"/>
        </w:rPr>
        <w:t xml:space="preserve"> obejmują technologie, które są mniej szkodliwe dla środowiska niż technologie stosowane obecnie, w tym technologie i procesy służące do zarządzania zanieczyszczaniem</w:t>
      </w:r>
      <w:r w:rsidR="00CA0A08" w:rsidRPr="00313778">
        <w:rPr>
          <w:rFonts w:ascii="Microsoft Sans Serif" w:hAnsi="Microsoft Sans Serif" w:cs="Microsoft Sans Serif"/>
        </w:rPr>
        <w:t xml:space="preserve"> środowiska </w:t>
      </w:r>
      <w:r w:rsidRPr="00313778">
        <w:rPr>
          <w:rFonts w:ascii="Microsoft Sans Serif" w:hAnsi="Microsoft Sans Serif" w:cs="Microsoft Sans Serif"/>
        </w:rPr>
        <w:t xml:space="preserve">(np. kontrola zanieczyszczenia powietrza/wody/gleby, zagospodarowanie odpadów) oraz bardziej </w:t>
      </w:r>
      <w:r w:rsidR="00CA0A08" w:rsidRPr="00313778">
        <w:rPr>
          <w:rFonts w:ascii="Microsoft Sans Serif" w:hAnsi="Microsoft Sans Serif" w:cs="Microsoft Sans Serif"/>
        </w:rPr>
        <w:t xml:space="preserve">wydajnego wykorzystania </w:t>
      </w:r>
      <w:r w:rsidR="000B0200" w:rsidRPr="00313778">
        <w:rPr>
          <w:rFonts w:ascii="Microsoft Sans Serif" w:hAnsi="Microsoft Sans Serif" w:cs="Microsoft Sans Serif"/>
        </w:rPr>
        <w:t>zasob</w:t>
      </w:r>
      <w:r w:rsidR="00CA0A08" w:rsidRPr="00313778">
        <w:rPr>
          <w:rFonts w:ascii="Microsoft Sans Serif" w:hAnsi="Microsoft Sans Serif" w:cs="Microsoft Sans Serif"/>
        </w:rPr>
        <w:t xml:space="preserve">ów.  </w:t>
      </w:r>
    </w:p>
    <w:p w:rsidR="00CA0A08" w:rsidRPr="00313778" w:rsidRDefault="000B0200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Zielone produkty i usługi </w:t>
      </w:r>
      <w:r w:rsidRPr="00313778">
        <w:rPr>
          <w:rFonts w:ascii="Microsoft Sans Serif" w:hAnsi="Microsoft Sans Serif" w:cs="Microsoft Sans Serif"/>
        </w:rPr>
        <w:t xml:space="preserve">to towary i usługi, które mają mniejszy wpływ na środowisko (powodujące mniejsze zanieczyszczenie i wymagające mniejszych nakładów) lub na zdrowie człowieka niż ich tradycyjne odpowiedniki i które są </w:t>
      </w:r>
      <w:r w:rsidR="00013E83" w:rsidRPr="00313778">
        <w:rPr>
          <w:rFonts w:ascii="Microsoft Sans Serif" w:hAnsi="Microsoft Sans Serif" w:cs="Microsoft Sans Serif"/>
        </w:rPr>
        <w:t xml:space="preserve">opłacalne z ekonomicznego punktu widzenia. </w:t>
      </w:r>
    </w:p>
    <w:p w:rsidR="00013E83" w:rsidRPr="00313778" w:rsidRDefault="00B105DB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Efektywne wykorzystanie materiałów i zagospodarowanie odpadów </w:t>
      </w:r>
      <w:r w:rsidRPr="00313778">
        <w:rPr>
          <w:rFonts w:ascii="Microsoft Sans Serif" w:hAnsi="Microsoft Sans Serif" w:cs="Microsoft Sans Serif"/>
        </w:rPr>
        <w:t xml:space="preserve"> to ulepszony obieg materiałów w produkcji i w łańcuchu dostaw, wykorzystanie i ponowne wykorzystanie materiałów z recyklingu (włączając gospodarowanie i </w:t>
      </w:r>
      <w:r w:rsidR="000422F7" w:rsidRPr="00313778">
        <w:rPr>
          <w:rFonts w:ascii="Microsoft Sans Serif" w:hAnsi="Microsoft Sans Serif" w:cs="Microsoft Sans Serif"/>
        </w:rPr>
        <w:t xml:space="preserve">zarządzanie odpadami), rozwój nowych lub ulepszonych produktów w oparciu o materiały z recyklingu oraz innowacje, które zmieniają wzorce produkcyjne i konsumpcyjne.  </w:t>
      </w:r>
    </w:p>
    <w:p w:rsidR="000422F7" w:rsidRPr="00313778" w:rsidRDefault="000422F7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„Bardziej zielone</w:t>
      </w:r>
      <w:r w:rsidR="00893F3A" w:rsidRPr="00313778">
        <w:rPr>
          <w:rFonts w:ascii="Microsoft Sans Serif" w:hAnsi="Microsoft Sans Serif" w:cs="Microsoft Sans Serif"/>
          <w:b/>
        </w:rPr>
        <w:t>”</w:t>
      </w:r>
      <w:r w:rsidRPr="00313778">
        <w:rPr>
          <w:rFonts w:ascii="Microsoft Sans Serif" w:hAnsi="Microsoft Sans Serif" w:cs="Microsoft Sans Serif"/>
          <w:b/>
        </w:rPr>
        <w:t xml:space="preserve"> procesy produkcyjne</w:t>
      </w:r>
      <w:r w:rsidR="00893F3A" w:rsidRPr="00313778">
        <w:rPr>
          <w:rFonts w:ascii="Microsoft Sans Serif" w:hAnsi="Microsoft Sans Serif" w:cs="Microsoft Sans Serif"/>
          <w:b/>
        </w:rPr>
        <w:t xml:space="preserve"> </w:t>
      </w:r>
      <w:r w:rsidR="00893F3A" w:rsidRPr="00313778">
        <w:rPr>
          <w:rFonts w:ascii="Microsoft Sans Serif" w:hAnsi="Microsoft Sans Serif" w:cs="Microsoft Sans Serif"/>
        </w:rPr>
        <w:t>to ulepszenia dotyczące sposobu</w:t>
      </w:r>
      <w:r w:rsidR="00DE1AB6">
        <w:rPr>
          <w:rFonts w:ascii="Microsoft Sans Serif" w:hAnsi="Microsoft Sans Serif" w:cs="Microsoft Sans Serif"/>
        </w:rPr>
        <w:t>,</w:t>
      </w:r>
      <w:r w:rsidR="00893F3A" w:rsidRPr="00313778">
        <w:rPr>
          <w:rFonts w:ascii="Microsoft Sans Serif" w:hAnsi="Microsoft Sans Serif" w:cs="Microsoft Sans Serif"/>
        </w:rPr>
        <w:t xml:space="preserve"> w jaki prowadzona jest działalność gospodarcza w odniesieniu do modeli biznesowych, standaryzacji, </w:t>
      </w:r>
      <w:r w:rsidR="00B2756A" w:rsidRPr="00313778">
        <w:rPr>
          <w:rFonts w:ascii="Microsoft Sans Serif" w:hAnsi="Microsoft Sans Serif" w:cs="Microsoft Sans Serif"/>
        </w:rPr>
        <w:t xml:space="preserve">certyfikacji, Zasobów Ludzkich (HR), przemyślanych zakupów, zarządzania łańcuchem dostaw oraz interwencji w zakresie zielonej energii, które wspierają bardziej proekologiczne </w:t>
      </w:r>
      <w:r w:rsidR="0030419C" w:rsidRPr="00313778">
        <w:rPr>
          <w:rFonts w:ascii="Microsoft Sans Serif" w:hAnsi="Microsoft Sans Serif" w:cs="Microsoft Sans Serif"/>
        </w:rPr>
        <w:t>działania i procesy w przedsiębiorstwie, a także inicjatywy związane ze Społeczną Odpowiedzialnością Biznesu (CSR), współprac</w:t>
      </w:r>
      <w:r w:rsidR="003F1E72" w:rsidRPr="00313778">
        <w:rPr>
          <w:rFonts w:ascii="Microsoft Sans Serif" w:hAnsi="Microsoft Sans Serif" w:cs="Microsoft Sans Serif"/>
        </w:rPr>
        <w:t>ą</w:t>
      </w:r>
      <w:r w:rsidR="0030419C" w:rsidRPr="00313778">
        <w:rPr>
          <w:rFonts w:ascii="Microsoft Sans Serif" w:hAnsi="Microsoft Sans Serif" w:cs="Microsoft Sans Serif"/>
        </w:rPr>
        <w:t xml:space="preserve"> z sieciami/klastrami itd.  </w:t>
      </w:r>
    </w:p>
    <w:p w:rsidR="0030419C" w:rsidRPr="00313778" w:rsidRDefault="0030419C" w:rsidP="0018485A">
      <w:pPr>
        <w:spacing w:before="120" w:after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„Zielone” miejsca pracy</w:t>
      </w:r>
      <w:r w:rsidRPr="00313778">
        <w:rPr>
          <w:rFonts w:ascii="Microsoft Sans Serif" w:hAnsi="Microsoft Sans Serif" w:cs="Microsoft Sans Serif"/>
        </w:rPr>
        <w:t xml:space="preserve"> </w:t>
      </w:r>
      <w:r w:rsidR="001A2391" w:rsidRPr="00313778">
        <w:rPr>
          <w:rFonts w:ascii="Microsoft Sans Serif" w:hAnsi="Microsoft Sans Serif" w:cs="Microsoft Sans Serif"/>
        </w:rPr>
        <w:t>(</w:t>
      </w:r>
      <w:r w:rsidR="001A2391" w:rsidRPr="00313778">
        <w:rPr>
          <w:rFonts w:ascii="Microsoft Sans Serif" w:hAnsi="Microsoft Sans Serif" w:cs="Microsoft Sans Serif"/>
          <w:i/>
        </w:rPr>
        <w:t>definicja Międzynarodowej Organizacji Pracy</w:t>
      </w:r>
      <w:r w:rsidR="001A2391" w:rsidRPr="00313778">
        <w:rPr>
          <w:rFonts w:ascii="Microsoft Sans Serif" w:hAnsi="Microsoft Sans Serif" w:cs="Microsoft Sans Serif"/>
        </w:rPr>
        <w:t xml:space="preserve">) </w:t>
      </w:r>
      <w:r w:rsidR="003F1E72" w:rsidRPr="00313778">
        <w:rPr>
          <w:rFonts w:ascii="Microsoft Sans Serif" w:hAnsi="Microsoft Sans Serif" w:cs="Microsoft Sans Serif"/>
        </w:rPr>
        <w:t xml:space="preserve">to </w:t>
      </w:r>
      <w:r w:rsidR="001A2391" w:rsidRPr="00313778">
        <w:rPr>
          <w:rFonts w:ascii="Microsoft Sans Serif" w:hAnsi="Microsoft Sans Serif" w:cs="Microsoft Sans Serif"/>
        </w:rPr>
        <w:t>miejsca pracy</w:t>
      </w:r>
      <w:r w:rsidR="007F5FA5" w:rsidRPr="00313778">
        <w:rPr>
          <w:rFonts w:ascii="Microsoft Sans Serif" w:hAnsi="Microsoft Sans Serif" w:cs="Microsoft Sans Serif"/>
        </w:rPr>
        <w:t xml:space="preserve">, które pomagają zmniejszyć negatywny wpływ na środowisko, co docelowo prowadzi do </w:t>
      </w:r>
      <w:r w:rsidR="003F1E72" w:rsidRPr="00313778">
        <w:rPr>
          <w:rFonts w:ascii="Microsoft Sans Serif" w:hAnsi="Microsoft Sans Serif" w:cs="Microsoft Sans Serif"/>
        </w:rPr>
        <w:t xml:space="preserve">zrównoważonych </w:t>
      </w:r>
      <w:r w:rsidR="001E4056" w:rsidRPr="00313778">
        <w:rPr>
          <w:rFonts w:ascii="Microsoft Sans Serif" w:hAnsi="Microsoft Sans Serif" w:cs="Microsoft Sans Serif"/>
        </w:rPr>
        <w:t>ekologicznie, ekonomicznie i społecznie przedsiębiorstw i gospodarek.  Określając to pojęcie bardziej precyzyjnie, zielone miejsca pracy to god</w:t>
      </w:r>
      <w:r w:rsidR="005F3FAA" w:rsidRPr="00313778">
        <w:rPr>
          <w:rFonts w:ascii="Microsoft Sans Serif" w:hAnsi="Microsoft Sans Serif" w:cs="Microsoft Sans Serif"/>
        </w:rPr>
        <w:t>na praca</w:t>
      </w:r>
      <w:r w:rsidR="001E4056" w:rsidRPr="00313778">
        <w:rPr>
          <w:rFonts w:ascii="Microsoft Sans Serif" w:hAnsi="Microsoft Sans Serif" w:cs="Microsoft Sans Serif"/>
        </w:rPr>
        <w:t>, któr</w:t>
      </w:r>
      <w:r w:rsidR="005F3FAA" w:rsidRPr="00313778">
        <w:rPr>
          <w:rFonts w:ascii="Microsoft Sans Serif" w:hAnsi="Microsoft Sans Serif" w:cs="Microsoft Sans Serif"/>
        </w:rPr>
        <w:t>a</w:t>
      </w:r>
      <w:r w:rsidR="001E4056" w:rsidRPr="00313778">
        <w:rPr>
          <w:rFonts w:ascii="Microsoft Sans Serif" w:hAnsi="Microsoft Sans Serif" w:cs="Microsoft Sans Serif"/>
        </w:rPr>
        <w:t>:</w:t>
      </w:r>
      <w:r w:rsidR="003F1E72" w:rsidRPr="00313778">
        <w:rPr>
          <w:rFonts w:ascii="Microsoft Sans Serif" w:hAnsi="Microsoft Sans Serif" w:cs="Microsoft Sans Serif"/>
        </w:rPr>
        <w:t xml:space="preserve"> </w:t>
      </w:r>
    </w:p>
    <w:p w:rsidR="001E4056" w:rsidRPr="00313778" w:rsidRDefault="001E4056" w:rsidP="001E4056">
      <w:pPr>
        <w:spacing w:before="12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- zmniejsza zużycie energii i surowców </w:t>
      </w:r>
    </w:p>
    <w:p w:rsidR="001E4056" w:rsidRPr="00313778" w:rsidRDefault="001E4056" w:rsidP="001E405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- ogranicza emisje gazów cieplarnianych </w:t>
      </w:r>
    </w:p>
    <w:p w:rsidR="001E4056" w:rsidRPr="00313778" w:rsidRDefault="001E4056" w:rsidP="001E405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- minimalizuj</w:t>
      </w:r>
      <w:r w:rsidR="005F3FAA" w:rsidRPr="00313778">
        <w:rPr>
          <w:rFonts w:ascii="Microsoft Sans Serif" w:hAnsi="Microsoft Sans Serif" w:cs="Microsoft Sans Serif"/>
        </w:rPr>
        <w:t>e</w:t>
      </w:r>
      <w:r w:rsidRPr="00313778">
        <w:rPr>
          <w:rFonts w:ascii="Microsoft Sans Serif" w:hAnsi="Microsoft Sans Serif" w:cs="Microsoft Sans Serif"/>
        </w:rPr>
        <w:t xml:space="preserve"> odpady i zanieczyszczenia </w:t>
      </w:r>
    </w:p>
    <w:p w:rsidR="001E4056" w:rsidRPr="00313778" w:rsidRDefault="001E4056" w:rsidP="001E405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- chroni </w:t>
      </w:r>
      <w:r w:rsidR="009F2759" w:rsidRPr="00313778">
        <w:rPr>
          <w:rFonts w:ascii="Microsoft Sans Serif" w:hAnsi="Microsoft Sans Serif" w:cs="Microsoft Sans Serif"/>
        </w:rPr>
        <w:t xml:space="preserve">ekosystemy </w:t>
      </w:r>
      <w:r w:rsidRPr="00313778">
        <w:rPr>
          <w:rFonts w:ascii="Microsoft Sans Serif" w:hAnsi="Microsoft Sans Serif" w:cs="Microsoft Sans Serif"/>
        </w:rPr>
        <w:t xml:space="preserve">i przywraca </w:t>
      </w:r>
      <w:r w:rsidR="009F2759" w:rsidRPr="00313778">
        <w:rPr>
          <w:rFonts w:ascii="Microsoft Sans Serif" w:hAnsi="Microsoft Sans Serif" w:cs="Microsoft Sans Serif"/>
        </w:rPr>
        <w:t xml:space="preserve">je </w:t>
      </w:r>
      <w:r w:rsidRPr="00313778">
        <w:rPr>
          <w:rFonts w:ascii="Microsoft Sans Serif" w:hAnsi="Microsoft Sans Serif" w:cs="Microsoft Sans Serif"/>
        </w:rPr>
        <w:t xml:space="preserve">do stanu pierwotnego </w:t>
      </w:r>
    </w:p>
    <w:p w:rsidR="005F3FAA" w:rsidRPr="00313778" w:rsidRDefault="005F3FAA" w:rsidP="005F3FAA">
      <w:pPr>
        <w:rPr>
          <w:rFonts w:ascii="Microsoft Sans Serif" w:hAnsi="Microsoft Sans Serif" w:cs="Microsoft Sans Serif"/>
          <w:b/>
        </w:rPr>
      </w:pPr>
    </w:p>
    <w:p w:rsidR="001E4056" w:rsidRPr="00313778" w:rsidRDefault="001E4056" w:rsidP="005F3FAA">
      <w:pPr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 xml:space="preserve">Innowacja </w:t>
      </w:r>
    </w:p>
    <w:p w:rsidR="001E4056" w:rsidRPr="00313778" w:rsidRDefault="001E4056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Przez innowację rozumiemy coś nowego.  Innowacja na poziomie przedsiębiorstwa obejmuje innowację w zakresie produktów/usług, innowację w zakresie procesów, </w:t>
      </w:r>
      <w:r w:rsidR="00935D8C" w:rsidRPr="00313778">
        <w:rPr>
          <w:rFonts w:ascii="Microsoft Sans Serif" w:hAnsi="Microsoft Sans Serif" w:cs="Microsoft Sans Serif"/>
        </w:rPr>
        <w:t xml:space="preserve">innowację organizacyjną, </w:t>
      </w:r>
      <w:r w:rsidRPr="00313778">
        <w:rPr>
          <w:rFonts w:ascii="Microsoft Sans Serif" w:hAnsi="Microsoft Sans Serif" w:cs="Microsoft Sans Serif"/>
        </w:rPr>
        <w:t xml:space="preserve">innowację rynkową (nie - </w:t>
      </w:r>
      <w:r w:rsidR="00935D8C" w:rsidRPr="00313778">
        <w:rPr>
          <w:rFonts w:ascii="Microsoft Sans Serif" w:hAnsi="Microsoft Sans Serif" w:cs="Microsoft Sans Serif"/>
        </w:rPr>
        <w:t>adaptację</w:t>
      </w:r>
      <w:r w:rsidRPr="00313778">
        <w:rPr>
          <w:rFonts w:ascii="Microsoft Sans Serif" w:hAnsi="Microsoft Sans Serif" w:cs="Microsoft Sans Serif"/>
        </w:rPr>
        <w:t>), co ma na celu zwiększenie działań proekologicznych w działalności przedsiębiorstwa.</w:t>
      </w:r>
      <w:r w:rsidR="00082989" w:rsidRPr="00313778">
        <w:rPr>
          <w:rFonts w:ascii="Microsoft Sans Serif" w:hAnsi="Microsoft Sans Serif" w:cs="Microsoft Sans Serif"/>
        </w:rPr>
        <w:t xml:space="preserve">  </w:t>
      </w:r>
      <w:r w:rsidRPr="00313778">
        <w:rPr>
          <w:rFonts w:ascii="Microsoft Sans Serif" w:hAnsi="Microsoft Sans Serif" w:cs="Microsoft Sans Serif"/>
        </w:rPr>
        <w:t xml:space="preserve">  </w:t>
      </w:r>
    </w:p>
    <w:p w:rsidR="005F3FAA" w:rsidRPr="00313778" w:rsidRDefault="005F3FAA" w:rsidP="005F3FAA">
      <w:pPr>
        <w:rPr>
          <w:rFonts w:ascii="Microsoft Sans Serif" w:hAnsi="Microsoft Sans Serif" w:cs="Microsoft Sans Serif"/>
          <w:b/>
        </w:rPr>
      </w:pPr>
    </w:p>
    <w:p w:rsidR="003131F0" w:rsidRPr="00313778" w:rsidRDefault="003131F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Efekt </w:t>
      </w:r>
      <w:r w:rsidR="003F1E72" w:rsidRPr="00313778">
        <w:rPr>
          <w:rFonts w:ascii="Microsoft Sans Serif" w:hAnsi="Microsoft Sans Serif" w:cs="Microsoft Sans Serif"/>
          <w:b/>
        </w:rPr>
        <w:t>uwolnienia</w:t>
      </w:r>
      <w:r w:rsidR="00935D8C" w:rsidRPr="00313778">
        <w:rPr>
          <w:rFonts w:ascii="Microsoft Sans Serif" w:hAnsi="Microsoft Sans Serif" w:cs="Microsoft Sans Serif"/>
          <w:b/>
        </w:rPr>
        <w:t>, tzw. „releasing effect”</w:t>
      </w:r>
      <w:r w:rsidR="003F1E72" w:rsidRPr="00313778">
        <w:rPr>
          <w:rFonts w:ascii="Microsoft Sans Serif" w:hAnsi="Microsoft Sans Serif" w:cs="Microsoft Sans Serif"/>
          <w:b/>
        </w:rPr>
        <w:t xml:space="preserve"> </w:t>
      </w:r>
    </w:p>
    <w:p w:rsidR="003131F0" w:rsidRPr="00313778" w:rsidRDefault="003131F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Projekty muszą obejmować działania, które nie zostałyby zrealizowane bez środków z tego Programu, tzn. działania, które przedsiębiorstwo zobowiązane jest wdrożyć</w:t>
      </w:r>
      <w:r w:rsidR="00002E22">
        <w:rPr>
          <w:rFonts w:ascii="Microsoft Sans Serif" w:hAnsi="Microsoft Sans Serif" w:cs="Microsoft Sans Serif"/>
        </w:rPr>
        <w:t>,</w:t>
      </w:r>
      <w:r w:rsidRPr="00313778">
        <w:rPr>
          <w:rFonts w:ascii="Microsoft Sans Serif" w:hAnsi="Microsoft Sans Serif" w:cs="Microsoft Sans Serif"/>
        </w:rPr>
        <w:t xml:space="preserve"> nie będą finansowane.   </w:t>
      </w:r>
    </w:p>
    <w:p w:rsidR="005F3FAA" w:rsidRPr="00313778" w:rsidRDefault="005F3FAA" w:rsidP="005F3FAA">
      <w:pPr>
        <w:rPr>
          <w:rFonts w:ascii="Microsoft Sans Serif" w:hAnsi="Microsoft Sans Serif" w:cs="Microsoft Sans Serif"/>
          <w:b/>
        </w:rPr>
      </w:pPr>
    </w:p>
    <w:p w:rsidR="003131F0" w:rsidRPr="00313778" w:rsidRDefault="003131F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Społeczna Odpowiedzialność Biznesu</w:t>
      </w:r>
      <w:r w:rsidRPr="00313778">
        <w:rPr>
          <w:rFonts w:ascii="Microsoft Sans Serif" w:hAnsi="Microsoft Sans Serif" w:cs="Microsoft Sans Serif"/>
        </w:rPr>
        <w:t xml:space="preserve"> </w:t>
      </w:r>
      <w:r w:rsidRPr="00313778">
        <w:rPr>
          <w:rFonts w:ascii="Microsoft Sans Serif" w:hAnsi="Microsoft Sans Serif" w:cs="Microsoft Sans Serif"/>
          <w:b/>
        </w:rPr>
        <w:t>(CSR)</w:t>
      </w:r>
    </w:p>
    <w:p w:rsidR="003131F0" w:rsidRPr="00313778" w:rsidRDefault="003131F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Poprzez społeczną odpowiedzialność biznesu (CSR) sektor przedsiębiorstw wnosi swój wkład w pozytywny rozwój społeczny, wzmacnia swoją własną konkurencyjność i działa w zgodzie </w:t>
      </w:r>
      <w:r w:rsidR="00F53808" w:rsidRPr="00313778">
        <w:rPr>
          <w:rFonts w:ascii="Microsoft Sans Serif" w:hAnsi="Microsoft Sans Serif" w:cs="Microsoft Sans Serif"/>
        </w:rPr>
        <w:t>z uniwersalnymi normami i wartościami (zob. oświadczenie dotyczące polityki Innovation Norway w zakresie CSR – „Zasady przewodnie dla CSR”</w:t>
      </w:r>
      <w:r w:rsidRPr="00313778">
        <w:rPr>
          <w:rFonts w:ascii="Microsoft Sans Serif" w:hAnsi="Microsoft Sans Serif" w:cs="Microsoft Sans Serif"/>
        </w:rPr>
        <w:t xml:space="preserve"> </w:t>
      </w:r>
      <w:r w:rsidR="003F1E72" w:rsidRPr="00313778">
        <w:rPr>
          <w:rFonts w:ascii="Microsoft Sans Serif" w:hAnsi="Microsoft Sans Serif" w:cs="Microsoft Sans Serif"/>
        </w:rPr>
        <w:t>ujęte</w:t>
      </w:r>
      <w:r w:rsidR="00F53808" w:rsidRPr="00313778">
        <w:rPr>
          <w:rFonts w:ascii="Microsoft Sans Serif" w:hAnsi="Microsoft Sans Serif" w:cs="Microsoft Sans Serif"/>
        </w:rPr>
        <w:t xml:space="preserve"> w elektronicznym formularzu Wniosku).</w:t>
      </w:r>
    </w:p>
    <w:p w:rsidR="005F3FAA" w:rsidRPr="00313778" w:rsidRDefault="005F3FAA" w:rsidP="005F3FAA">
      <w:pPr>
        <w:rPr>
          <w:rFonts w:ascii="Microsoft Sans Serif" w:hAnsi="Microsoft Sans Serif" w:cs="Microsoft Sans Serif"/>
          <w:b/>
        </w:rPr>
      </w:pPr>
    </w:p>
    <w:p w:rsidR="00D54A45" w:rsidRPr="00313778" w:rsidRDefault="00D54A45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Projekt</w:t>
      </w:r>
      <w:r w:rsidRPr="00313778">
        <w:rPr>
          <w:rFonts w:ascii="Microsoft Sans Serif" w:hAnsi="Microsoft Sans Serif" w:cs="Microsoft Sans Serif"/>
        </w:rPr>
        <w:t xml:space="preserve"> </w:t>
      </w:r>
    </w:p>
    <w:p w:rsidR="00D54A45" w:rsidRPr="00313778" w:rsidRDefault="00D54A45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Projekt jest definiowany jako ekonomicznie niepodzielna seria działań, których cele można wyraźnie zidentyfikować, a działania te są zaprojektowane w sposób, który </w:t>
      </w:r>
      <w:r w:rsidR="00002E22" w:rsidRPr="00313778">
        <w:rPr>
          <w:rFonts w:ascii="Microsoft Sans Serif" w:hAnsi="Microsoft Sans Serif" w:cs="Microsoft Sans Serif"/>
        </w:rPr>
        <w:t>finalnie ukierunkowany</w:t>
      </w:r>
      <w:r w:rsidRPr="00313778">
        <w:rPr>
          <w:rFonts w:ascii="Microsoft Sans Serif" w:hAnsi="Microsoft Sans Serif" w:cs="Microsoft Sans Serif"/>
        </w:rPr>
        <w:t xml:space="preserve"> jest na główny cel Programu.  Wniosek projektowy może zawierać jeden lub więcej podprojektów.  </w:t>
      </w:r>
    </w:p>
    <w:p w:rsidR="005F3FAA" w:rsidRPr="00313778" w:rsidRDefault="005F3FAA" w:rsidP="005F3FAA">
      <w:pPr>
        <w:rPr>
          <w:rFonts w:ascii="Microsoft Sans Serif" w:hAnsi="Microsoft Sans Serif" w:cs="Microsoft Sans Serif"/>
          <w:b/>
        </w:rPr>
      </w:pPr>
    </w:p>
    <w:p w:rsidR="009F2759" w:rsidRPr="00313778" w:rsidRDefault="003F1E72" w:rsidP="005F3FAA">
      <w:pPr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  <w:bCs/>
        </w:rPr>
        <w:t xml:space="preserve">Projekty partnerskie z podmiotami </w:t>
      </w:r>
      <w:r w:rsidR="009F2759" w:rsidRPr="00313778">
        <w:rPr>
          <w:rFonts w:ascii="Microsoft Sans Serif" w:hAnsi="Microsoft Sans Serif" w:cs="Microsoft Sans Serif"/>
          <w:b/>
          <w:bCs/>
        </w:rPr>
        <w:t>z państw</w:t>
      </w:r>
      <w:r w:rsidRPr="00313778">
        <w:rPr>
          <w:rFonts w:ascii="Microsoft Sans Serif" w:hAnsi="Microsoft Sans Serif" w:cs="Microsoft Sans Serif"/>
          <w:b/>
          <w:bCs/>
        </w:rPr>
        <w:t xml:space="preserve">a </w:t>
      </w:r>
      <w:r w:rsidR="009F2759" w:rsidRPr="00313778">
        <w:rPr>
          <w:rFonts w:ascii="Microsoft Sans Serif" w:hAnsi="Microsoft Sans Serif" w:cs="Microsoft Sans Serif"/>
          <w:b/>
          <w:bCs/>
        </w:rPr>
        <w:t>darczyńc</w:t>
      </w:r>
      <w:r w:rsidRPr="00313778">
        <w:rPr>
          <w:rFonts w:ascii="Microsoft Sans Serif" w:hAnsi="Microsoft Sans Serif" w:cs="Microsoft Sans Serif"/>
          <w:b/>
          <w:bCs/>
        </w:rPr>
        <w:t xml:space="preserve">y </w:t>
      </w:r>
      <w:r w:rsidR="009F2759" w:rsidRPr="00313778">
        <w:rPr>
          <w:rFonts w:ascii="Microsoft Sans Serif" w:hAnsi="Microsoft Sans Serif" w:cs="Microsoft Sans Serif"/>
          <w:b/>
        </w:rPr>
        <w:t xml:space="preserve"> </w:t>
      </w:r>
    </w:p>
    <w:p w:rsidR="00273B38" w:rsidRPr="00313778" w:rsidRDefault="005F3FAA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Jest </w:t>
      </w:r>
      <w:r w:rsidR="003F1E72" w:rsidRPr="00313778">
        <w:rPr>
          <w:rFonts w:ascii="Microsoft Sans Serif" w:hAnsi="Microsoft Sans Serif" w:cs="Microsoft Sans Serif"/>
        </w:rPr>
        <w:t xml:space="preserve">to </w:t>
      </w:r>
      <w:r w:rsidRPr="00313778">
        <w:rPr>
          <w:rFonts w:ascii="Microsoft Sans Serif" w:hAnsi="Microsoft Sans Serif" w:cs="Microsoft Sans Serif"/>
        </w:rPr>
        <w:t>współpraca pomiędzy przynajmniej jednym podmiotem prawnym z Polski i przynajmniej jednym podmiotem prawnym z Norwegii, w ramach</w:t>
      </w:r>
      <w:r w:rsidR="00900074">
        <w:rPr>
          <w:rFonts w:ascii="Microsoft Sans Serif" w:hAnsi="Microsoft Sans Serif" w:cs="Microsoft Sans Serif"/>
        </w:rPr>
        <w:t xml:space="preserve"> </w:t>
      </w:r>
      <w:r w:rsidRPr="00313778">
        <w:rPr>
          <w:rFonts w:ascii="Microsoft Sans Serif" w:hAnsi="Microsoft Sans Serif" w:cs="Microsoft Sans Serif"/>
        </w:rPr>
        <w:t>której realizowany jest wspólny projekt</w:t>
      </w:r>
      <w:r w:rsidR="009F2759" w:rsidRPr="00313778">
        <w:rPr>
          <w:rFonts w:ascii="Microsoft Sans Serif" w:hAnsi="Microsoft Sans Serif" w:cs="Microsoft Sans Serif"/>
        </w:rPr>
        <w:t xml:space="preserve">, </w:t>
      </w:r>
      <w:r w:rsidRPr="00313778">
        <w:rPr>
          <w:rFonts w:ascii="Microsoft Sans Serif" w:hAnsi="Microsoft Sans Serif" w:cs="Microsoft Sans Serif"/>
        </w:rPr>
        <w:t xml:space="preserve">gdzie wszystkie podmioty są od siebie niezależne i wykonują określone zadania prowadzące do </w:t>
      </w:r>
      <w:r w:rsidR="008C35AD" w:rsidRPr="00313778">
        <w:rPr>
          <w:rFonts w:ascii="Microsoft Sans Serif" w:hAnsi="Microsoft Sans Serif" w:cs="Microsoft Sans Serif"/>
        </w:rPr>
        <w:t>realizacji</w:t>
      </w:r>
      <w:r w:rsidRPr="00313778">
        <w:rPr>
          <w:rFonts w:ascii="Microsoft Sans Serif" w:hAnsi="Microsoft Sans Serif" w:cs="Microsoft Sans Serif"/>
        </w:rPr>
        <w:t xml:space="preserve"> projektu.  Projekt powinien zostać zaplanowany</w:t>
      </w:r>
      <w:r w:rsidR="009F2759" w:rsidRPr="00313778">
        <w:rPr>
          <w:rFonts w:ascii="Microsoft Sans Serif" w:hAnsi="Microsoft Sans Serif" w:cs="Microsoft Sans Serif"/>
        </w:rPr>
        <w:t xml:space="preserve"> i zrealizowany wspólnie, a pa</w:t>
      </w:r>
      <w:r w:rsidR="008C35AD" w:rsidRPr="00313778">
        <w:rPr>
          <w:rFonts w:ascii="Microsoft Sans Serif" w:hAnsi="Microsoft Sans Serif" w:cs="Microsoft Sans Serif"/>
        </w:rPr>
        <w:t>rtnerzy w projekcie powinni podzielić się wynikami.  Zalecana jest współpraca długoterminowa, wychodząca poza czas trwania projektu.</w:t>
      </w:r>
      <w:r w:rsidR="009F2759" w:rsidRPr="00313778">
        <w:rPr>
          <w:rFonts w:ascii="Microsoft Sans Serif" w:hAnsi="Microsoft Sans Serif" w:cs="Microsoft Sans Serif"/>
        </w:rPr>
        <w:t xml:space="preserve"> </w:t>
      </w:r>
      <w:r w:rsidR="008C35AD" w:rsidRPr="00313778">
        <w:rPr>
          <w:rFonts w:ascii="Microsoft Sans Serif" w:hAnsi="Microsoft Sans Serif" w:cs="Microsoft Sans Serif"/>
        </w:rPr>
        <w:t xml:space="preserve"> </w:t>
      </w:r>
      <w:r w:rsidR="00273B38" w:rsidRPr="00313778">
        <w:rPr>
          <w:rFonts w:ascii="Microsoft Sans Serif" w:hAnsi="Microsoft Sans Serif" w:cs="Microsoft Sans Serif"/>
        </w:rPr>
        <w:t xml:space="preserve">Wymóg dotyczący niezależności oznacza, że niedozwolony jest żaden bezpośredni udział właścicielski w innych podmiotach partnerskich.  Partnerstwo musi zostać zawiązane przed złożeniem wniosku.  </w:t>
      </w:r>
    </w:p>
    <w:p w:rsidR="00273B38" w:rsidRPr="00313778" w:rsidRDefault="00273B38" w:rsidP="005F3FAA">
      <w:pPr>
        <w:rPr>
          <w:rFonts w:ascii="Microsoft Sans Serif" w:hAnsi="Microsoft Sans Serif" w:cs="Microsoft Sans Serif"/>
        </w:rPr>
      </w:pPr>
    </w:p>
    <w:p w:rsidR="00273B38" w:rsidRPr="00313778" w:rsidRDefault="0005156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MŚP</w:t>
      </w:r>
      <w:r w:rsidR="00273B38" w:rsidRPr="00313778">
        <w:rPr>
          <w:rFonts w:ascii="Microsoft Sans Serif" w:hAnsi="Microsoft Sans Serif" w:cs="Microsoft Sans Serif"/>
          <w:b/>
        </w:rPr>
        <w:t xml:space="preserve"> – Małe i średnie przedsiębiorstwa </w:t>
      </w:r>
    </w:p>
    <w:p w:rsidR="005F3FAA" w:rsidRPr="00313778" w:rsidRDefault="0075664D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Małe przedsiębiorstwo </w:t>
      </w:r>
      <w:r w:rsidR="00273B38" w:rsidRPr="00313778">
        <w:rPr>
          <w:rFonts w:ascii="Microsoft Sans Serif" w:hAnsi="Microsoft Sans Serif" w:cs="Microsoft Sans Serif"/>
        </w:rPr>
        <w:t xml:space="preserve">to </w:t>
      </w:r>
      <w:r w:rsidRPr="00313778">
        <w:rPr>
          <w:rFonts w:ascii="Microsoft Sans Serif" w:hAnsi="Microsoft Sans Serif" w:cs="Microsoft Sans Serif"/>
        </w:rPr>
        <w:t>przedsiębiorstwo</w:t>
      </w:r>
      <w:r w:rsidR="00273B38" w:rsidRPr="00313778">
        <w:rPr>
          <w:rFonts w:ascii="Microsoft Sans Serif" w:hAnsi="Microsoft Sans Serif" w:cs="Microsoft Sans Serif"/>
        </w:rPr>
        <w:t xml:space="preserve">, </w:t>
      </w:r>
      <w:r w:rsidRPr="00313778">
        <w:rPr>
          <w:rFonts w:ascii="Microsoft Sans Serif" w:hAnsi="Microsoft Sans Serif" w:cs="Microsoft Sans Serif"/>
        </w:rPr>
        <w:t xml:space="preserve">które </w:t>
      </w:r>
      <w:r w:rsidR="00273B38" w:rsidRPr="00313778">
        <w:rPr>
          <w:rFonts w:ascii="Microsoft Sans Serif" w:hAnsi="Microsoft Sans Serif" w:cs="Microsoft Sans Serif"/>
        </w:rPr>
        <w:t xml:space="preserve">zatrudnia mniej niż 50 osób, ma obrót poniżej 10 milionów Euro </w:t>
      </w:r>
      <w:r w:rsidR="00002E22" w:rsidRPr="00313778">
        <w:rPr>
          <w:rFonts w:ascii="Microsoft Sans Serif" w:hAnsi="Microsoft Sans Serif" w:cs="Microsoft Sans Serif"/>
        </w:rPr>
        <w:t>i sumę</w:t>
      </w:r>
      <w:r w:rsidR="00273B38" w:rsidRPr="00313778">
        <w:rPr>
          <w:rFonts w:ascii="Microsoft Sans Serif" w:hAnsi="Microsoft Sans Serif" w:cs="Microsoft Sans Serif"/>
        </w:rPr>
        <w:t xml:space="preserve"> bilansową poniżej 10 milionów.   </w:t>
      </w:r>
      <w:r w:rsidRPr="00313778">
        <w:rPr>
          <w:rFonts w:ascii="Microsoft Sans Serif" w:hAnsi="Microsoft Sans Serif" w:cs="Microsoft Sans Serif"/>
        </w:rPr>
        <w:t xml:space="preserve">Przedsiębiorstwo </w:t>
      </w:r>
      <w:r w:rsidR="00273B38" w:rsidRPr="00313778">
        <w:rPr>
          <w:rFonts w:ascii="Microsoft Sans Serif" w:hAnsi="Microsoft Sans Serif" w:cs="Microsoft Sans Serif"/>
        </w:rPr>
        <w:t xml:space="preserve">średniej wielkości to </w:t>
      </w:r>
      <w:r w:rsidRPr="00313778">
        <w:rPr>
          <w:rFonts w:ascii="Microsoft Sans Serif" w:hAnsi="Microsoft Sans Serif" w:cs="Microsoft Sans Serif"/>
        </w:rPr>
        <w:t>przedsiębiorstwo</w:t>
      </w:r>
      <w:r w:rsidR="00273B38" w:rsidRPr="00313778">
        <w:rPr>
          <w:rFonts w:ascii="Microsoft Sans Serif" w:hAnsi="Microsoft Sans Serif" w:cs="Microsoft Sans Serif"/>
        </w:rPr>
        <w:t xml:space="preserve">, </w:t>
      </w:r>
      <w:r w:rsidRPr="00313778">
        <w:rPr>
          <w:rFonts w:ascii="Microsoft Sans Serif" w:hAnsi="Microsoft Sans Serif" w:cs="Microsoft Sans Serif"/>
        </w:rPr>
        <w:t xml:space="preserve">które </w:t>
      </w:r>
      <w:r w:rsidR="00273B38" w:rsidRPr="00313778">
        <w:rPr>
          <w:rFonts w:ascii="Microsoft Sans Serif" w:hAnsi="Microsoft Sans Serif" w:cs="Microsoft Sans Serif"/>
        </w:rPr>
        <w:t xml:space="preserve">ma mniej niż 250 pracowników, ma obrót poniżej 50 milionów Euro </w:t>
      </w:r>
      <w:r w:rsidR="00002E22" w:rsidRPr="00313778">
        <w:rPr>
          <w:rFonts w:ascii="Microsoft Sans Serif" w:hAnsi="Microsoft Sans Serif" w:cs="Microsoft Sans Serif"/>
        </w:rPr>
        <w:t>i sumę</w:t>
      </w:r>
      <w:r w:rsidR="00273B38" w:rsidRPr="00313778">
        <w:rPr>
          <w:rFonts w:ascii="Microsoft Sans Serif" w:hAnsi="Microsoft Sans Serif" w:cs="Microsoft Sans Serif"/>
        </w:rPr>
        <w:t xml:space="preserve"> bilansową poniżej 43 miliony.    </w:t>
      </w:r>
    </w:p>
    <w:p w:rsidR="009671D0" w:rsidRPr="00313778" w:rsidRDefault="009671D0" w:rsidP="005F3FAA">
      <w:pPr>
        <w:rPr>
          <w:rFonts w:ascii="Microsoft Sans Serif" w:hAnsi="Microsoft Sans Serif" w:cs="Microsoft Sans Serif"/>
        </w:rPr>
      </w:pPr>
    </w:p>
    <w:p w:rsidR="009671D0" w:rsidRPr="00313778" w:rsidRDefault="009671D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Powyższe </w:t>
      </w:r>
      <w:r w:rsidR="003F1E72" w:rsidRPr="00313778">
        <w:rPr>
          <w:rFonts w:ascii="Microsoft Sans Serif" w:hAnsi="Microsoft Sans Serif" w:cs="Microsoft Sans Serif"/>
        </w:rPr>
        <w:t>limity</w:t>
      </w:r>
      <w:r w:rsidRPr="00313778">
        <w:rPr>
          <w:rFonts w:ascii="Microsoft Sans Serif" w:hAnsi="Microsoft Sans Serif" w:cs="Microsoft Sans Serif"/>
        </w:rPr>
        <w:t xml:space="preserve"> stosują się wyłącznie do </w:t>
      </w:r>
      <w:r w:rsidR="00776451" w:rsidRPr="00313778">
        <w:rPr>
          <w:rFonts w:ascii="Microsoft Sans Serif" w:hAnsi="Microsoft Sans Serif" w:cs="Microsoft Sans Serif"/>
        </w:rPr>
        <w:t xml:space="preserve">danych liczbowych </w:t>
      </w:r>
      <w:r w:rsidRPr="00313778">
        <w:rPr>
          <w:rFonts w:ascii="Microsoft Sans Serif" w:hAnsi="Microsoft Sans Serif" w:cs="Microsoft Sans Serif"/>
        </w:rPr>
        <w:t xml:space="preserve">pojedynczych </w:t>
      </w:r>
      <w:r w:rsidR="0075664D" w:rsidRPr="00313778">
        <w:rPr>
          <w:rFonts w:ascii="Microsoft Sans Serif" w:hAnsi="Microsoft Sans Serif" w:cs="Microsoft Sans Serif"/>
        </w:rPr>
        <w:t>przedsiębiorstw</w:t>
      </w:r>
      <w:r w:rsidRPr="00313778">
        <w:rPr>
          <w:rFonts w:ascii="Microsoft Sans Serif" w:hAnsi="Microsoft Sans Serif" w:cs="Microsoft Sans Serif"/>
        </w:rPr>
        <w:t xml:space="preserve">.  W przypadku </w:t>
      </w:r>
      <w:r w:rsidR="0075664D" w:rsidRPr="00313778">
        <w:rPr>
          <w:rFonts w:ascii="Microsoft Sans Serif" w:hAnsi="Microsoft Sans Serif" w:cs="Microsoft Sans Serif"/>
        </w:rPr>
        <w:t>przedsiębiorstwa</w:t>
      </w:r>
      <w:r w:rsidRPr="00313778">
        <w:rPr>
          <w:rFonts w:ascii="Microsoft Sans Serif" w:hAnsi="Microsoft Sans Serif" w:cs="Microsoft Sans Serif"/>
        </w:rPr>
        <w:t xml:space="preserve">, </w:t>
      </w:r>
      <w:r w:rsidR="0075664D" w:rsidRPr="00313778">
        <w:rPr>
          <w:rFonts w:ascii="Microsoft Sans Serif" w:hAnsi="Microsoft Sans Serif" w:cs="Microsoft Sans Serif"/>
        </w:rPr>
        <w:t xml:space="preserve">które </w:t>
      </w:r>
      <w:r w:rsidRPr="00313778">
        <w:rPr>
          <w:rFonts w:ascii="Microsoft Sans Serif" w:hAnsi="Microsoft Sans Serif" w:cs="Microsoft Sans Serif"/>
        </w:rPr>
        <w:t xml:space="preserve">jest częścią większego ugrupowania konieczne może być dołączenie danych dotyczących zatrudnienia/obrotu/sumy bilansowej również z tego ugrupowania.  </w:t>
      </w:r>
    </w:p>
    <w:p w:rsidR="009671D0" w:rsidRPr="00313778" w:rsidRDefault="009671D0" w:rsidP="005F3FAA">
      <w:pPr>
        <w:rPr>
          <w:rFonts w:ascii="Microsoft Sans Serif" w:hAnsi="Microsoft Sans Serif" w:cs="Microsoft Sans Serif"/>
        </w:rPr>
      </w:pPr>
    </w:p>
    <w:p w:rsidR="009671D0" w:rsidRPr="00313778" w:rsidRDefault="00776451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Dalsze informacje można uzyskać na stronie UE dotyczącej </w:t>
      </w:r>
      <w:r w:rsidR="00051560" w:rsidRPr="00313778">
        <w:rPr>
          <w:rFonts w:ascii="Microsoft Sans Serif" w:hAnsi="Microsoft Sans Serif" w:cs="Microsoft Sans Serif"/>
        </w:rPr>
        <w:t>MŚP</w:t>
      </w:r>
      <w:r w:rsidRPr="00313778">
        <w:rPr>
          <w:rFonts w:ascii="Microsoft Sans Serif" w:hAnsi="Microsoft Sans Serif" w:cs="Microsoft Sans Serif"/>
        </w:rPr>
        <w:t>:</w:t>
      </w:r>
    </w:p>
    <w:p w:rsidR="00776451" w:rsidRPr="00313778" w:rsidRDefault="00CE4992" w:rsidP="005F3FAA">
      <w:pPr>
        <w:rPr>
          <w:rFonts w:ascii="Microsoft Sans Serif" w:hAnsi="Microsoft Sans Serif" w:cs="Microsoft Sans Serif"/>
        </w:rPr>
      </w:pPr>
      <w:hyperlink r:id="rId10" w:history="1">
        <w:r w:rsidR="00776451" w:rsidRPr="00313778">
          <w:rPr>
            <w:rStyle w:val="Hipercze"/>
            <w:rFonts w:ascii="Microsoft Sans Serif" w:hAnsi="Microsoft Sans Serif" w:cs="Microsoft Sans Serif"/>
          </w:rPr>
          <w:t>http://ec.europa.eu/enterprise/policies/sme/facts-figures-analysis/sme-defintion/</w:t>
        </w:r>
      </w:hyperlink>
      <w:r w:rsidR="00776451" w:rsidRPr="00313778">
        <w:rPr>
          <w:rFonts w:ascii="Microsoft Sans Serif" w:hAnsi="Microsoft Sans Serif" w:cs="Microsoft Sans Serif"/>
        </w:rPr>
        <w:t xml:space="preserve"> </w:t>
      </w:r>
    </w:p>
    <w:p w:rsidR="00776451" w:rsidRPr="00313778" w:rsidRDefault="00776451" w:rsidP="005F3FAA">
      <w:pPr>
        <w:rPr>
          <w:rFonts w:ascii="Microsoft Sans Serif" w:hAnsi="Microsoft Sans Serif" w:cs="Microsoft Sans Serif"/>
        </w:rPr>
      </w:pPr>
    </w:p>
    <w:p w:rsidR="00776451" w:rsidRPr="00313778" w:rsidRDefault="00051560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Klast</w:t>
      </w:r>
      <w:r w:rsidR="00776451" w:rsidRPr="00313778">
        <w:rPr>
          <w:rFonts w:ascii="Microsoft Sans Serif" w:hAnsi="Microsoft Sans Serif" w:cs="Microsoft Sans Serif"/>
          <w:b/>
        </w:rPr>
        <w:t>ry</w:t>
      </w:r>
    </w:p>
    <w:p w:rsidR="00800F7E" w:rsidRPr="00313778" w:rsidRDefault="00776451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Sieć połączonych przedsiębiorstw, dostawców i partnerów działających </w:t>
      </w:r>
      <w:r w:rsidR="00800F7E" w:rsidRPr="00313778">
        <w:rPr>
          <w:rFonts w:ascii="Microsoft Sans Serif" w:hAnsi="Microsoft Sans Serif" w:cs="Microsoft Sans Serif"/>
        </w:rPr>
        <w:t xml:space="preserve">w określonej dziedzinie, którzy usytuowani są w tym samym obszarze geograficznym.  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Kapitał obrotowy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Aktywa bieżące spółki przewyższają jej zobowiązania krótkoterminowe, co oznacza, że spółka ma płynność finansową wystarczającą do pokrycia jej zobowiązań krótkoterminowych.  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Kapitał własny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Wartość aktywów spółki po odliczeniu zobowiązań.  </w:t>
      </w:r>
    </w:p>
    <w:p w:rsidR="00800F7E" w:rsidRPr="00313778" w:rsidRDefault="00800F7E" w:rsidP="00800F7E">
      <w:pPr>
        <w:pStyle w:val="Nagwek1"/>
      </w:pPr>
      <w:bookmarkStart w:id="2" w:name="_Toc381611285"/>
      <w:r w:rsidRPr="00313778">
        <w:t>2.   Działania kwalifik</w:t>
      </w:r>
      <w:bookmarkEnd w:id="2"/>
      <w:r w:rsidR="00D052E3" w:rsidRPr="00313778">
        <w:t xml:space="preserve">owalne 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Niniejszy Program może zapewnić wsparcie dla Projektów, </w:t>
      </w:r>
      <w:r w:rsidR="003F1E72" w:rsidRPr="00313778">
        <w:rPr>
          <w:rFonts w:ascii="Microsoft Sans Serif" w:hAnsi="Microsoft Sans Serif" w:cs="Microsoft Sans Serif"/>
        </w:rPr>
        <w:t xml:space="preserve">w wynik których w przedsiębiorstwie ubiegającym się o dofinansowanie zostaną opracowane i wdrożone </w:t>
      </w:r>
      <w:r w:rsidRPr="00313778">
        <w:rPr>
          <w:rFonts w:ascii="Microsoft Sans Serif" w:hAnsi="Microsoft Sans Serif" w:cs="Microsoft Sans Serif"/>
        </w:rPr>
        <w:t xml:space="preserve">działania w jednym lub </w:t>
      </w:r>
      <w:r w:rsidR="003F1E72" w:rsidRPr="00313778">
        <w:rPr>
          <w:rFonts w:ascii="Microsoft Sans Serif" w:hAnsi="Microsoft Sans Serif" w:cs="Microsoft Sans Serif"/>
        </w:rPr>
        <w:t xml:space="preserve">w </w:t>
      </w:r>
      <w:r w:rsidRPr="00313778">
        <w:rPr>
          <w:rFonts w:ascii="Microsoft Sans Serif" w:hAnsi="Microsoft Sans Serif" w:cs="Microsoft Sans Serif"/>
        </w:rPr>
        <w:t xml:space="preserve">kilku z następujących obszarów:  </w:t>
      </w:r>
      <w:r w:rsidR="003F1E72" w:rsidRPr="00313778">
        <w:rPr>
          <w:rFonts w:ascii="Microsoft Sans Serif" w:hAnsi="Microsoft Sans Serif" w:cs="Microsoft Sans Serif"/>
        </w:rPr>
        <w:t xml:space="preserve"> </w:t>
      </w:r>
    </w:p>
    <w:p w:rsidR="00800F7E" w:rsidRPr="00313778" w:rsidRDefault="00800F7E" w:rsidP="005F3FAA">
      <w:pPr>
        <w:rPr>
          <w:rFonts w:ascii="Microsoft Sans Serif" w:hAnsi="Microsoft Sans Serif" w:cs="Microsoft Sans Serif"/>
        </w:rPr>
      </w:pPr>
    </w:p>
    <w:p w:rsidR="00CA25AF" w:rsidRPr="00313778" w:rsidRDefault="00CA25AF" w:rsidP="00CA25AF">
      <w:pPr>
        <w:pStyle w:val="Akapitzlist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Opracowanie</w:t>
      </w:r>
      <w:r w:rsidR="0075664D" w:rsidRPr="00313778">
        <w:rPr>
          <w:rFonts w:ascii="Microsoft Sans Serif" w:hAnsi="Microsoft Sans Serif" w:cs="Microsoft Sans Serif"/>
        </w:rPr>
        <w:t>/Rozwój</w:t>
      </w:r>
      <w:r w:rsidR="00800F7E" w:rsidRPr="00313778">
        <w:rPr>
          <w:rFonts w:ascii="Microsoft Sans Serif" w:hAnsi="Microsoft Sans Serif" w:cs="Microsoft Sans Serif"/>
        </w:rPr>
        <w:t xml:space="preserve">, </w:t>
      </w:r>
      <w:r w:rsidRPr="00313778">
        <w:rPr>
          <w:rFonts w:ascii="Microsoft Sans Serif" w:hAnsi="Microsoft Sans Serif" w:cs="Microsoft Sans Serif"/>
        </w:rPr>
        <w:t xml:space="preserve">wdrożenie i inwestycja w innowacyjne technologie przyjazne środowisku </w:t>
      </w:r>
    </w:p>
    <w:p w:rsidR="00CA25AF" w:rsidRPr="00313778" w:rsidRDefault="00CA25AF" w:rsidP="00CA25AF">
      <w:pPr>
        <w:pStyle w:val="Akapitzlist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Rozwój zielonych produktów i usług </w:t>
      </w:r>
    </w:p>
    <w:p w:rsidR="00CA25AF" w:rsidRPr="00313778" w:rsidRDefault="00CA25AF" w:rsidP="00CA25AF">
      <w:pPr>
        <w:pStyle w:val="Akapitzlist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Opracowanie</w:t>
      </w:r>
      <w:r w:rsidR="0075664D" w:rsidRPr="00313778">
        <w:rPr>
          <w:rFonts w:ascii="Microsoft Sans Serif" w:hAnsi="Microsoft Sans Serif" w:cs="Microsoft Sans Serif"/>
        </w:rPr>
        <w:t>/Rozwój</w:t>
      </w:r>
      <w:r w:rsidRPr="00313778">
        <w:rPr>
          <w:rFonts w:ascii="Microsoft Sans Serif" w:hAnsi="Microsoft Sans Serif" w:cs="Microsoft Sans Serif"/>
        </w:rPr>
        <w:t xml:space="preserve"> i wdrożenie bardziej proekologicznych procesów produkcyjnych, a także</w:t>
      </w:r>
    </w:p>
    <w:p w:rsidR="00776451" w:rsidRPr="00313778" w:rsidRDefault="00CA25AF" w:rsidP="00CA25AF">
      <w:pPr>
        <w:pStyle w:val="Akapitzlist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Szkolenie, podnoszenie świadomości oraz weryfikacj</w:t>
      </w:r>
      <w:r w:rsidR="003F1E72" w:rsidRPr="00313778">
        <w:rPr>
          <w:rFonts w:ascii="Microsoft Sans Serif" w:hAnsi="Microsoft Sans Serif" w:cs="Microsoft Sans Serif"/>
        </w:rPr>
        <w:t>a</w:t>
      </w:r>
      <w:r w:rsidR="00900074">
        <w:rPr>
          <w:rFonts w:ascii="Microsoft Sans Serif" w:hAnsi="Microsoft Sans Serif" w:cs="Microsoft Sans Serif"/>
        </w:rPr>
        <w:t>,</w:t>
      </w:r>
      <w:r w:rsidRPr="00313778">
        <w:rPr>
          <w:rFonts w:ascii="Microsoft Sans Serif" w:hAnsi="Microsoft Sans Serif" w:cs="Microsoft Sans Serif"/>
        </w:rPr>
        <w:t xml:space="preserve"> jako działania uzupełniające </w:t>
      </w:r>
      <w:r w:rsidR="003F1E72" w:rsidRPr="00313778">
        <w:rPr>
          <w:rFonts w:ascii="Microsoft Sans Serif" w:hAnsi="Microsoft Sans Serif" w:cs="Microsoft Sans Serif"/>
        </w:rPr>
        <w:t>powiązane z</w:t>
      </w:r>
      <w:r w:rsidRPr="00313778">
        <w:rPr>
          <w:rFonts w:ascii="Microsoft Sans Serif" w:hAnsi="Microsoft Sans Serif" w:cs="Microsoft Sans Serif"/>
        </w:rPr>
        <w:t xml:space="preserve"> powyższy</w:t>
      </w:r>
      <w:r w:rsidR="003F1E72" w:rsidRPr="00313778">
        <w:rPr>
          <w:rFonts w:ascii="Microsoft Sans Serif" w:hAnsi="Microsoft Sans Serif" w:cs="Microsoft Sans Serif"/>
        </w:rPr>
        <w:t>mi</w:t>
      </w:r>
      <w:r w:rsidRPr="00313778">
        <w:rPr>
          <w:rFonts w:ascii="Microsoft Sans Serif" w:hAnsi="Microsoft Sans Serif" w:cs="Microsoft Sans Serif"/>
        </w:rPr>
        <w:t xml:space="preserve"> działa</w:t>
      </w:r>
      <w:r w:rsidR="003F1E72" w:rsidRPr="00313778">
        <w:rPr>
          <w:rFonts w:ascii="Microsoft Sans Serif" w:hAnsi="Microsoft Sans Serif" w:cs="Microsoft Sans Serif"/>
        </w:rPr>
        <w:t xml:space="preserve">niami </w:t>
      </w:r>
      <w:r w:rsidRPr="00313778">
        <w:rPr>
          <w:rFonts w:ascii="Microsoft Sans Serif" w:hAnsi="Microsoft Sans Serif" w:cs="Microsoft Sans Serif"/>
        </w:rPr>
        <w:t xml:space="preserve"> </w:t>
      </w:r>
    </w:p>
    <w:p w:rsidR="00CA25AF" w:rsidRPr="00313778" w:rsidRDefault="00CA25AF" w:rsidP="00CA25AF">
      <w:pPr>
        <w:rPr>
          <w:rFonts w:ascii="Microsoft Sans Serif" w:hAnsi="Microsoft Sans Serif" w:cs="Microsoft Sans Serif"/>
        </w:rPr>
      </w:pPr>
    </w:p>
    <w:p w:rsidR="00CA25AF" w:rsidRPr="00313778" w:rsidRDefault="00CA25AF" w:rsidP="00CA25AF">
      <w:pPr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>UWAGA:</w:t>
      </w:r>
    </w:p>
    <w:p w:rsidR="00CA25AF" w:rsidRPr="00313778" w:rsidRDefault="00CA25AF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Proszę zauważyć, że projekty muszą </w:t>
      </w:r>
      <w:r w:rsidR="008C6CDF" w:rsidRPr="00313778">
        <w:rPr>
          <w:rFonts w:ascii="Microsoft Sans Serif" w:hAnsi="Microsoft Sans Serif" w:cs="Microsoft Sans Serif"/>
          <w:b/>
        </w:rPr>
        <w:t xml:space="preserve">w sposób bezpośredni przyczynić się do realizacji </w:t>
      </w:r>
      <w:r w:rsidRPr="00313778">
        <w:rPr>
          <w:rFonts w:ascii="Microsoft Sans Serif" w:hAnsi="Microsoft Sans Serif" w:cs="Microsoft Sans Serif"/>
          <w:b/>
        </w:rPr>
        <w:t>jed</w:t>
      </w:r>
      <w:r w:rsidR="008C6CDF" w:rsidRPr="00313778">
        <w:rPr>
          <w:rFonts w:ascii="Microsoft Sans Serif" w:hAnsi="Microsoft Sans Serif" w:cs="Microsoft Sans Serif"/>
          <w:b/>
        </w:rPr>
        <w:t xml:space="preserve">nego </w:t>
      </w:r>
      <w:r w:rsidRPr="00313778">
        <w:rPr>
          <w:rFonts w:ascii="Microsoft Sans Serif" w:hAnsi="Microsoft Sans Serif" w:cs="Microsoft Sans Serif"/>
          <w:b/>
        </w:rPr>
        <w:t>lub kilk</w:t>
      </w:r>
      <w:r w:rsidR="008C6CDF" w:rsidRPr="00313778">
        <w:rPr>
          <w:rFonts w:ascii="Microsoft Sans Serif" w:hAnsi="Microsoft Sans Serif" w:cs="Microsoft Sans Serif"/>
          <w:b/>
        </w:rPr>
        <w:t>u</w:t>
      </w:r>
      <w:r w:rsidRPr="00313778">
        <w:rPr>
          <w:rFonts w:ascii="Microsoft Sans Serif" w:hAnsi="Microsoft Sans Serif" w:cs="Microsoft Sans Serif"/>
          <w:b/>
        </w:rPr>
        <w:t xml:space="preserve"> wskaźników </w:t>
      </w:r>
      <w:r w:rsidR="003F1E72" w:rsidRPr="00313778">
        <w:rPr>
          <w:rFonts w:ascii="Microsoft Sans Serif" w:hAnsi="Microsoft Sans Serif" w:cs="Microsoft Sans Serif"/>
          <w:b/>
        </w:rPr>
        <w:t xml:space="preserve">osiągnięcia </w:t>
      </w:r>
      <w:r w:rsidRPr="00313778">
        <w:rPr>
          <w:rFonts w:ascii="Microsoft Sans Serif" w:hAnsi="Microsoft Sans Serif" w:cs="Microsoft Sans Serif"/>
          <w:b/>
        </w:rPr>
        <w:t>rezultat</w:t>
      </w:r>
      <w:r w:rsidR="003F1E72" w:rsidRPr="00313778">
        <w:rPr>
          <w:rFonts w:ascii="Microsoft Sans Serif" w:hAnsi="Microsoft Sans Serif" w:cs="Microsoft Sans Serif"/>
          <w:b/>
        </w:rPr>
        <w:t>u</w:t>
      </w:r>
      <w:r w:rsidRPr="00313778">
        <w:rPr>
          <w:rFonts w:ascii="Microsoft Sans Serif" w:hAnsi="Microsoft Sans Serif" w:cs="Microsoft Sans Serif"/>
          <w:b/>
        </w:rPr>
        <w:t xml:space="preserve"> </w:t>
      </w:r>
      <w:r w:rsidR="00B46629" w:rsidRPr="00313778">
        <w:rPr>
          <w:rFonts w:ascii="Microsoft Sans Serif" w:hAnsi="Microsoft Sans Serif" w:cs="Microsoft Sans Serif"/>
          <w:b/>
        </w:rPr>
        <w:t xml:space="preserve">wyznaczonych dla tego Programu: </w:t>
      </w:r>
    </w:p>
    <w:p w:rsidR="00B46629" w:rsidRPr="00313778" w:rsidRDefault="00B46629" w:rsidP="00CA25AF">
      <w:pPr>
        <w:rPr>
          <w:rFonts w:ascii="Microsoft Sans Serif" w:hAnsi="Microsoft Sans Serif" w:cs="Microsoft Sans Serif"/>
        </w:rPr>
      </w:pPr>
    </w:p>
    <w:p w:rsidR="00372CA3" w:rsidRPr="00313778" w:rsidRDefault="00372CA3" w:rsidP="00372CA3">
      <w:pPr>
        <w:pStyle w:val="Akapitzlist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Pomyślne opracowane i przygotowane do komercjalizacji </w:t>
      </w:r>
      <w:r w:rsidR="0075664D" w:rsidRPr="00313778">
        <w:rPr>
          <w:rFonts w:ascii="Microsoft Sans Serif" w:hAnsi="Microsoft Sans Serif" w:cs="Microsoft Sans Serif"/>
        </w:rPr>
        <w:t>nowe ekologiczne technologie</w:t>
      </w:r>
      <w:r w:rsidRPr="00313778">
        <w:rPr>
          <w:rFonts w:ascii="Microsoft Sans Serif" w:hAnsi="Microsoft Sans Serif" w:cs="Microsoft Sans Serif"/>
        </w:rPr>
        <w:t>.</w:t>
      </w:r>
    </w:p>
    <w:p w:rsidR="00372CA3" w:rsidRPr="00313778" w:rsidRDefault="0075664D" w:rsidP="00372CA3">
      <w:pPr>
        <w:pStyle w:val="Akapitzlist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Wprowadzone </w:t>
      </w:r>
      <w:r w:rsidR="008C6CDF" w:rsidRPr="00313778">
        <w:rPr>
          <w:rFonts w:ascii="Microsoft Sans Serif" w:hAnsi="Microsoft Sans Serif" w:cs="Microsoft Sans Serif"/>
        </w:rPr>
        <w:t xml:space="preserve">na rynek </w:t>
      </w:r>
      <w:r w:rsidRPr="00313778">
        <w:rPr>
          <w:rFonts w:ascii="Microsoft Sans Serif" w:hAnsi="Microsoft Sans Serif" w:cs="Microsoft Sans Serif"/>
        </w:rPr>
        <w:t xml:space="preserve">nowe </w:t>
      </w:r>
      <w:r w:rsidR="008C6CDF" w:rsidRPr="00313778">
        <w:rPr>
          <w:rFonts w:ascii="Microsoft Sans Serif" w:hAnsi="Microsoft Sans Serif" w:cs="Microsoft Sans Serif"/>
        </w:rPr>
        <w:t xml:space="preserve">lub </w:t>
      </w:r>
      <w:r w:rsidRPr="00313778">
        <w:rPr>
          <w:rFonts w:ascii="Microsoft Sans Serif" w:hAnsi="Microsoft Sans Serif" w:cs="Microsoft Sans Serif"/>
        </w:rPr>
        <w:t xml:space="preserve">ulepszone zielone produkty </w:t>
      </w:r>
      <w:r w:rsidR="008C6CDF" w:rsidRPr="00313778">
        <w:rPr>
          <w:rFonts w:ascii="Microsoft Sans Serif" w:hAnsi="Microsoft Sans Serif" w:cs="Microsoft Sans Serif"/>
        </w:rPr>
        <w:t>i usług</w:t>
      </w:r>
      <w:r w:rsidRPr="00313778">
        <w:rPr>
          <w:rFonts w:ascii="Microsoft Sans Serif" w:hAnsi="Microsoft Sans Serif" w:cs="Microsoft Sans Serif"/>
        </w:rPr>
        <w:t>i</w:t>
      </w:r>
    </w:p>
    <w:p w:rsidR="008C6CDF" w:rsidRPr="00313778" w:rsidRDefault="00563E8F" w:rsidP="00372CA3">
      <w:pPr>
        <w:pStyle w:val="Akapitzlist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Liczba technologii środowiskowych</w:t>
      </w:r>
      <w:r w:rsidRPr="00313778" w:rsidDel="00563E8F">
        <w:rPr>
          <w:rFonts w:ascii="Microsoft Sans Serif" w:hAnsi="Microsoft Sans Serif" w:cs="Microsoft Sans Serif"/>
        </w:rPr>
        <w:t xml:space="preserve"> </w:t>
      </w:r>
      <w:r w:rsidRPr="00313778">
        <w:rPr>
          <w:rFonts w:ascii="Microsoft Sans Serif" w:hAnsi="Microsoft Sans Serif" w:cs="Microsoft Sans Serif"/>
        </w:rPr>
        <w:t>p</w:t>
      </w:r>
      <w:r w:rsidR="008C6CDF" w:rsidRPr="00313778">
        <w:rPr>
          <w:rFonts w:ascii="Microsoft Sans Serif" w:hAnsi="Microsoft Sans Serif" w:cs="Microsoft Sans Serif"/>
        </w:rPr>
        <w:t>omyśln</w:t>
      </w:r>
      <w:r w:rsidRPr="00313778">
        <w:rPr>
          <w:rFonts w:ascii="Microsoft Sans Serif" w:hAnsi="Microsoft Sans Serif" w:cs="Microsoft Sans Serif"/>
        </w:rPr>
        <w:t>i</w:t>
      </w:r>
      <w:r w:rsidR="008C6CDF" w:rsidRPr="00313778">
        <w:rPr>
          <w:rFonts w:ascii="Microsoft Sans Serif" w:hAnsi="Microsoft Sans Serif" w:cs="Microsoft Sans Serif"/>
        </w:rPr>
        <w:t xml:space="preserve">e </w:t>
      </w:r>
      <w:r w:rsidR="0075664D" w:rsidRPr="00313778">
        <w:rPr>
          <w:rFonts w:ascii="Microsoft Sans Serif" w:hAnsi="Microsoft Sans Serif" w:cs="Microsoft Sans Serif"/>
        </w:rPr>
        <w:t>dostosowan</w:t>
      </w:r>
      <w:r w:rsidRPr="00313778">
        <w:rPr>
          <w:rFonts w:ascii="Microsoft Sans Serif" w:hAnsi="Microsoft Sans Serif" w:cs="Microsoft Sans Serif"/>
        </w:rPr>
        <w:t>ych</w:t>
      </w:r>
      <w:r w:rsidR="0075664D" w:rsidRPr="00313778">
        <w:rPr>
          <w:rFonts w:ascii="Microsoft Sans Serif" w:hAnsi="Microsoft Sans Serif" w:cs="Microsoft Sans Serif"/>
        </w:rPr>
        <w:t xml:space="preserve"> </w:t>
      </w:r>
      <w:r w:rsidR="008C6CDF" w:rsidRPr="00313778">
        <w:rPr>
          <w:rFonts w:ascii="Microsoft Sans Serif" w:hAnsi="Microsoft Sans Serif" w:cs="Microsoft Sans Serif"/>
        </w:rPr>
        <w:t xml:space="preserve">i/lub </w:t>
      </w:r>
      <w:r w:rsidRPr="00313778">
        <w:rPr>
          <w:rFonts w:ascii="Microsoft Sans Serif" w:hAnsi="Microsoft Sans Serif" w:cs="Microsoft Sans Serif"/>
        </w:rPr>
        <w:t xml:space="preserve">zastosowanych </w:t>
      </w:r>
      <w:r w:rsidR="008C6CDF" w:rsidRPr="00313778">
        <w:rPr>
          <w:rFonts w:ascii="Microsoft Sans Serif" w:hAnsi="Microsoft Sans Serif" w:cs="Microsoft Sans Serif"/>
        </w:rPr>
        <w:t>praktyczn</w:t>
      </w:r>
      <w:r w:rsidRPr="00313778">
        <w:rPr>
          <w:rFonts w:ascii="Microsoft Sans Serif" w:hAnsi="Microsoft Sans Serif" w:cs="Microsoft Sans Serif"/>
        </w:rPr>
        <w:t>i</w:t>
      </w:r>
      <w:r w:rsidR="008C6CDF" w:rsidRPr="00313778">
        <w:rPr>
          <w:rFonts w:ascii="Microsoft Sans Serif" w:hAnsi="Microsoft Sans Serif" w:cs="Microsoft Sans Serif"/>
        </w:rPr>
        <w:t xml:space="preserve">e w nowych obszarach </w:t>
      </w:r>
    </w:p>
    <w:p w:rsidR="008C6CDF" w:rsidRPr="00313778" w:rsidRDefault="008C6CDF" w:rsidP="00372CA3">
      <w:pPr>
        <w:pStyle w:val="Akapitzlist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Utworzenie zielonych miejsc pracy*</w:t>
      </w:r>
    </w:p>
    <w:p w:rsidR="008C6CDF" w:rsidRPr="00313778" w:rsidRDefault="008C6CDF" w:rsidP="008C6CDF">
      <w:pPr>
        <w:rPr>
          <w:rFonts w:ascii="Microsoft Sans Serif" w:hAnsi="Microsoft Sans Serif" w:cs="Microsoft Sans Serif"/>
        </w:rPr>
      </w:pPr>
    </w:p>
    <w:p w:rsidR="00630E3A" w:rsidRPr="00313778" w:rsidRDefault="008C6CDF" w:rsidP="008C6CDF">
      <w:pPr>
        <w:rPr>
          <w:rFonts w:ascii="Microsoft Sans Serif" w:hAnsi="Microsoft Sans Serif" w:cs="Microsoft Sans Serif"/>
          <w:b/>
        </w:rPr>
      </w:pPr>
      <w:r w:rsidRPr="00313778">
        <w:rPr>
          <w:rFonts w:ascii="Microsoft Sans Serif" w:hAnsi="Microsoft Sans Serif" w:cs="Microsoft Sans Serif"/>
          <w:b/>
        </w:rPr>
        <w:t xml:space="preserve">* Wskaźnik nr 4 – „utworzenie zielonych miejsc pracy” </w:t>
      </w:r>
      <w:r w:rsidR="00630E3A" w:rsidRPr="00313778">
        <w:rPr>
          <w:rFonts w:ascii="Microsoft Sans Serif" w:hAnsi="Microsoft Sans Serif" w:cs="Microsoft Sans Serif"/>
          <w:b/>
        </w:rPr>
        <w:t xml:space="preserve">można wybrać tylko w połączeniu z innym wskaźnikiem Programu </w:t>
      </w:r>
    </w:p>
    <w:p w:rsidR="007B2FBC" w:rsidRPr="00313778" w:rsidRDefault="007B2FBC" w:rsidP="007B2FBC">
      <w:pPr>
        <w:pStyle w:val="Nagwek1"/>
      </w:pPr>
      <w:bookmarkStart w:id="3" w:name="_Toc381611286"/>
      <w:r w:rsidRPr="00313778">
        <w:t>3.  Uprawnieni wnioskodawcy i partnerzy</w:t>
      </w:r>
      <w:bookmarkEnd w:id="3"/>
      <w:r w:rsidRPr="00313778">
        <w:t xml:space="preserve"> </w:t>
      </w:r>
    </w:p>
    <w:p w:rsidR="007B2FBC" w:rsidRPr="00313778" w:rsidRDefault="007B2FBC" w:rsidP="008C6CDF">
      <w:pPr>
        <w:rPr>
          <w:rFonts w:ascii="Microsoft Sans Serif" w:hAnsi="Microsoft Sans Serif" w:cs="Microsoft Sans Serif"/>
        </w:rPr>
      </w:pPr>
    </w:p>
    <w:p w:rsidR="007B2FBC" w:rsidRPr="00313778" w:rsidRDefault="007B2FBC" w:rsidP="007B2FBC">
      <w:pPr>
        <w:pStyle w:val="Nagwek2"/>
      </w:pPr>
      <w:bookmarkStart w:id="4" w:name="_Toc381611287"/>
      <w:r w:rsidRPr="00313778">
        <w:t>3.1.  Uprawnieni wnioskodawcy:</w:t>
      </w:r>
      <w:bookmarkEnd w:id="4"/>
      <w:r w:rsidRPr="00313778">
        <w:t xml:space="preserve"> </w:t>
      </w:r>
    </w:p>
    <w:p w:rsidR="00B46629" w:rsidRPr="00313778" w:rsidRDefault="007B2FBC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 xml:space="preserve">Prywatne przedsiębiorstwa </w:t>
      </w:r>
      <w:r w:rsidR="00051560" w:rsidRPr="00313778">
        <w:rPr>
          <w:rFonts w:ascii="Microsoft Sans Serif" w:hAnsi="Microsoft Sans Serif" w:cs="Microsoft Sans Serif"/>
          <w:b/>
        </w:rPr>
        <w:t>MŚP</w:t>
      </w:r>
      <w:r w:rsidRPr="00313778">
        <w:rPr>
          <w:rFonts w:ascii="Microsoft Sans Serif" w:hAnsi="Microsoft Sans Serif" w:cs="Microsoft Sans Serif"/>
          <w:b/>
        </w:rPr>
        <w:t xml:space="preserve"> </w:t>
      </w:r>
      <w:r w:rsidRPr="00313778">
        <w:rPr>
          <w:rFonts w:ascii="Microsoft Sans Serif" w:hAnsi="Microsoft Sans Serif" w:cs="Microsoft Sans Serif"/>
        </w:rPr>
        <w:t xml:space="preserve">zawiązane jako podmioty prawne w Polsce zgodnie z prawem polskim.  </w:t>
      </w:r>
    </w:p>
    <w:p w:rsidR="007B2FBC" w:rsidRPr="00313778" w:rsidRDefault="007B2FBC" w:rsidP="00CA25AF">
      <w:pPr>
        <w:rPr>
          <w:rFonts w:ascii="Microsoft Sans Serif" w:hAnsi="Microsoft Sans Serif" w:cs="Microsoft Sans Serif"/>
        </w:rPr>
      </w:pPr>
    </w:p>
    <w:p w:rsidR="007B2FBC" w:rsidRPr="00313778" w:rsidRDefault="007B2FBC" w:rsidP="007B2FBC">
      <w:pPr>
        <w:pStyle w:val="Nagwek2"/>
      </w:pPr>
      <w:bookmarkStart w:id="5" w:name="_Toc381611288"/>
      <w:r w:rsidRPr="00313778">
        <w:t>3.2.   Uprawnieni partnerzy:</w:t>
      </w:r>
      <w:bookmarkEnd w:id="5"/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Uprawnionymi partnerami projektu mogą być przedsiębiorstwa, instytucje badawcze i klastry, zarówno w Polsce jak i w Norwegii. </w:t>
      </w:r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Partnerstwo nie jest obowiązkowe, ale zachęca się do tworzenia partnerstwa z podmiotami z kraju darczyńcy, co będzie premiowane dodatkowymi punktami podczas procesu oceny projektów.  </w:t>
      </w:r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Kwalifikowalny projekt partnerski z podmiotem z kraju darczyńcy musi być realizowany przez przynajmniej jeden podmiot prawny z Polski i przynajmniej jeden podmiot prawny z Norwegii, a także musi </w:t>
      </w:r>
      <w:r w:rsidR="000F3AF4" w:rsidRPr="00313778">
        <w:rPr>
          <w:rFonts w:ascii="Microsoft Sans Serif" w:hAnsi="Microsoft Sans Serif" w:cs="Microsoft Sans Serif"/>
        </w:rPr>
        <w:t>generować</w:t>
      </w:r>
      <w:r w:rsidRPr="00313778">
        <w:rPr>
          <w:rFonts w:ascii="Microsoft Sans Serif" w:hAnsi="Microsoft Sans Serif" w:cs="Microsoft Sans Serif"/>
        </w:rPr>
        <w:t xml:space="preserve"> wartość dodaną dla obu stron. </w:t>
      </w:r>
    </w:p>
    <w:p w:rsidR="00CD350B" w:rsidRPr="00313778" w:rsidRDefault="00CD350B" w:rsidP="00CA25AF">
      <w:pPr>
        <w:rPr>
          <w:rFonts w:ascii="Microsoft Sans Serif" w:hAnsi="Microsoft Sans Serif" w:cs="Microsoft Sans Serif"/>
        </w:rPr>
      </w:pPr>
    </w:p>
    <w:p w:rsidR="007B2FBC" w:rsidRPr="00313778" w:rsidRDefault="00900EED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Więcej informacji dotyczących projektów realizowanych w partnerstwie z podmiotami z kraju darczyńców w ramach Funduszy Norweskich 2009 – 2014 można uzyskać na stronie internetowej Programu.   </w:t>
      </w:r>
    </w:p>
    <w:p w:rsidR="00900EED" w:rsidRPr="00313778" w:rsidRDefault="00900EED" w:rsidP="00CA25AF">
      <w:pPr>
        <w:rPr>
          <w:rFonts w:ascii="Microsoft Sans Serif" w:hAnsi="Microsoft Sans Serif" w:cs="Microsoft Sans Serif"/>
        </w:rPr>
      </w:pPr>
    </w:p>
    <w:p w:rsidR="00900EED" w:rsidRPr="00313778" w:rsidRDefault="00900EED" w:rsidP="00900EED">
      <w:pPr>
        <w:pStyle w:val="Nagwek2"/>
      </w:pPr>
      <w:bookmarkStart w:id="6" w:name="_Toc381611289"/>
      <w:r w:rsidRPr="00313778">
        <w:t>3.3  Dodatkowe kryteria dla wnioskodawców i partnerów</w:t>
      </w:r>
      <w:bookmarkEnd w:id="6"/>
      <w:r w:rsidRPr="00313778">
        <w:t xml:space="preserve"> </w:t>
      </w:r>
    </w:p>
    <w:p w:rsidR="00900EED" w:rsidRPr="00313778" w:rsidRDefault="00900EED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Wnioskodawca i Partner/Partnerzy muszą spełniać następujące warunki dodatkowe: </w:t>
      </w:r>
    </w:p>
    <w:p w:rsidR="00900EED" w:rsidRPr="00313778" w:rsidRDefault="00900EED" w:rsidP="00CA25AF">
      <w:pPr>
        <w:rPr>
          <w:rFonts w:ascii="Microsoft Sans Serif" w:hAnsi="Microsoft Sans Serif" w:cs="Microsoft Sans Serif"/>
        </w:rPr>
      </w:pPr>
    </w:p>
    <w:p w:rsidR="00051560" w:rsidRPr="00313778" w:rsidRDefault="00247871" w:rsidP="00217BE0">
      <w:pPr>
        <w:pStyle w:val="Akapitzlist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</w:t>
      </w:r>
      <w:r w:rsidR="00217BE0" w:rsidRPr="00313778">
        <w:rPr>
          <w:rFonts w:ascii="Microsoft Sans Serif" w:hAnsi="Microsoft Sans Serif" w:cs="Microsoft Sans Serif"/>
        </w:rPr>
        <w:t>nioskodawca i Partner/Partnerzy Wnioskodawcy muszą prowadzić działalność przynajmniej przez jeden rok podatkowy</w:t>
      </w:r>
      <w:r w:rsidR="00051560" w:rsidRPr="00313778">
        <w:rPr>
          <w:rFonts w:ascii="Microsoft Sans Serif" w:hAnsi="Microsoft Sans Serif" w:cs="Microsoft Sans Serif"/>
        </w:rPr>
        <w:t xml:space="preserve"> przed złożeniem wniosku; </w:t>
      </w:r>
    </w:p>
    <w:p w:rsidR="008C792B" w:rsidRPr="00313778" w:rsidRDefault="00247871" w:rsidP="00217BE0">
      <w:pPr>
        <w:pStyle w:val="Akapitzlist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g</w:t>
      </w:r>
      <w:r w:rsidR="008C792B" w:rsidRPr="00313778">
        <w:rPr>
          <w:rFonts w:ascii="Microsoft Sans Serif" w:hAnsi="Microsoft Sans Serif" w:cs="Microsoft Sans Serif"/>
        </w:rPr>
        <w:t>łówne obszary działalności Wnioskodawcy są ściśle związane z działaniami, których dotyczy składany wniosek;</w:t>
      </w:r>
    </w:p>
    <w:p w:rsidR="00900EED" w:rsidRPr="00313778" w:rsidRDefault="00247871" w:rsidP="00217BE0">
      <w:pPr>
        <w:pStyle w:val="Akapitzlist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</w:t>
      </w:r>
      <w:r w:rsidR="008C792B" w:rsidRPr="00313778">
        <w:rPr>
          <w:rFonts w:ascii="Microsoft Sans Serif" w:hAnsi="Microsoft Sans Serif" w:cs="Microsoft Sans Serif"/>
        </w:rPr>
        <w:t>nioskodawca i jego Partner/Partnerzy oraz przedstawiciel prawny Wnioskodawcy podpisujący wniosek są osobami niekaranymi i ni</w:t>
      </w:r>
      <w:r w:rsidRPr="00313778">
        <w:rPr>
          <w:rFonts w:ascii="Microsoft Sans Serif" w:hAnsi="Microsoft Sans Serif" w:cs="Microsoft Sans Serif"/>
        </w:rPr>
        <w:t>e mają zaległości podatkowych;</w:t>
      </w:r>
    </w:p>
    <w:p w:rsidR="00247871" w:rsidRPr="00313778" w:rsidRDefault="00247871" w:rsidP="00217BE0">
      <w:pPr>
        <w:pStyle w:val="Akapitzlist"/>
        <w:numPr>
          <w:ilvl w:val="0"/>
          <w:numId w:val="5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Jeśli Wnioskodawca ma jednego lub więcej Partnerów, to wszyscy partnerzy muszą podpisać projekt Umowy Partnerskiej określającej różne role i zakres odpowiedzialności Stron, który należy dołączyć do wniosku.</w:t>
      </w:r>
    </w:p>
    <w:p w:rsidR="00247871" w:rsidRPr="00313778" w:rsidRDefault="00247871" w:rsidP="00247871">
      <w:pPr>
        <w:rPr>
          <w:rFonts w:ascii="Microsoft Sans Serif" w:hAnsi="Microsoft Sans Serif" w:cs="Microsoft Sans Serif"/>
        </w:rPr>
      </w:pPr>
    </w:p>
    <w:p w:rsidR="00247871" w:rsidRPr="00313778" w:rsidRDefault="00247871" w:rsidP="00247871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Ponadto, Wnioskodawcy nie mogą brać udziału w </w:t>
      </w:r>
      <w:r w:rsidR="000F3AF4" w:rsidRPr="00313778">
        <w:rPr>
          <w:rFonts w:ascii="Microsoft Sans Serif" w:hAnsi="Microsoft Sans Serif" w:cs="Microsoft Sans Serif"/>
        </w:rPr>
        <w:t>niniejszym</w:t>
      </w:r>
      <w:r w:rsidRPr="00313778">
        <w:rPr>
          <w:rFonts w:ascii="Microsoft Sans Serif" w:hAnsi="Microsoft Sans Serif" w:cs="Microsoft Sans Serif"/>
        </w:rPr>
        <w:t xml:space="preserve"> naborze wniosków ani nie mogą otrzymać dofinansowania</w:t>
      </w:r>
      <w:r w:rsidR="00002E22">
        <w:rPr>
          <w:rFonts w:ascii="Microsoft Sans Serif" w:hAnsi="Microsoft Sans Serif" w:cs="Microsoft Sans Serif"/>
        </w:rPr>
        <w:t>,</w:t>
      </w:r>
      <w:r w:rsidRPr="00313778">
        <w:rPr>
          <w:rFonts w:ascii="Microsoft Sans Serif" w:hAnsi="Microsoft Sans Serif" w:cs="Microsoft Sans Serif"/>
        </w:rPr>
        <w:t xml:space="preserve"> jeśli:  </w:t>
      </w:r>
    </w:p>
    <w:p w:rsidR="00247871" w:rsidRPr="00313778" w:rsidRDefault="00247871" w:rsidP="00247871">
      <w:pPr>
        <w:rPr>
          <w:rFonts w:ascii="Microsoft Sans Serif" w:hAnsi="Microsoft Sans Serif" w:cs="Microsoft Sans Serif"/>
        </w:rPr>
      </w:pPr>
    </w:p>
    <w:p w:rsidR="00247871" w:rsidRPr="00313778" w:rsidRDefault="00A3009C" w:rsidP="00247871">
      <w:pPr>
        <w:pStyle w:val="Akapitzlist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znajdują się w stanie upadłości, podlegają władzy sądowniczej lub są w stanie likwidacji, zawiesili swoją działalność, są przedmiotem postępowania odnoszącego się do tych </w:t>
      </w:r>
      <w:r w:rsidR="000F3AF4" w:rsidRPr="00313778">
        <w:rPr>
          <w:rFonts w:ascii="Microsoft Sans Serif" w:hAnsi="Microsoft Sans Serif" w:cs="Microsoft Sans Serif"/>
        </w:rPr>
        <w:t>kwestii</w:t>
      </w:r>
      <w:r w:rsidRPr="00313778">
        <w:rPr>
          <w:rFonts w:ascii="Microsoft Sans Serif" w:hAnsi="Microsoft Sans Serif" w:cs="Microsoft Sans Serif"/>
        </w:rPr>
        <w:t>, lub są w analogicznej sytuacji wynikającej z podobnej procedury przewidywanej przez prawo krajowe;</w:t>
      </w:r>
    </w:p>
    <w:p w:rsidR="00A3009C" w:rsidRPr="00313778" w:rsidRDefault="00A3009C" w:rsidP="00247871">
      <w:pPr>
        <w:pStyle w:val="Akapitzlist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został w stosunku do nich wydany wyrok, który ma skutek </w:t>
      </w:r>
      <w:r w:rsidRPr="00313778">
        <w:rPr>
          <w:rFonts w:ascii="Microsoft Sans Serif" w:hAnsi="Microsoft Sans Serif" w:cs="Microsoft Sans Serif"/>
          <w:i/>
        </w:rPr>
        <w:t>res judicata</w:t>
      </w:r>
      <w:r w:rsidRPr="00313778">
        <w:rPr>
          <w:rFonts w:ascii="Microsoft Sans Serif" w:hAnsi="Microsoft Sans Serif" w:cs="Microsoft Sans Serif"/>
        </w:rPr>
        <w:t xml:space="preserve"> (prawomocnego orzeczenia sądowego) za oszustwo</w:t>
      </w:r>
      <w:r w:rsidR="00720D3A" w:rsidRPr="00313778">
        <w:rPr>
          <w:rFonts w:ascii="Microsoft Sans Serif" w:hAnsi="Microsoft Sans Serif" w:cs="Microsoft Sans Serif"/>
        </w:rPr>
        <w:t xml:space="preserve">, korupcję, udział w działalności organizacji przestępczej lub jakąkolwiek inną nielegalną działalność szkodliwą dla interesów finansowych, bez </w:t>
      </w:r>
      <w:r w:rsidR="00E4376D" w:rsidRPr="00313778">
        <w:rPr>
          <w:rFonts w:ascii="Microsoft Sans Serif" w:hAnsi="Microsoft Sans Serif" w:cs="Microsoft Sans Serif"/>
        </w:rPr>
        <w:t xml:space="preserve">istnienia </w:t>
      </w:r>
      <w:r w:rsidR="00720D3A" w:rsidRPr="00313778">
        <w:rPr>
          <w:rFonts w:ascii="Microsoft Sans Serif" w:hAnsi="Microsoft Sans Serif" w:cs="Microsoft Sans Serif"/>
        </w:rPr>
        <w:t xml:space="preserve">dowodów </w:t>
      </w:r>
      <w:r w:rsidR="00E4376D" w:rsidRPr="00313778">
        <w:rPr>
          <w:rFonts w:ascii="Microsoft Sans Serif" w:hAnsi="Microsoft Sans Serif" w:cs="Microsoft Sans Serif"/>
        </w:rPr>
        <w:t xml:space="preserve">na </w:t>
      </w:r>
      <w:r w:rsidR="00720D3A" w:rsidRPr="00313778">
        <w:rPr>
          <w:rFonts w:ascii="Microsoft Sans Serif" w:hAnsi="Microsoft Sans Serif" w:cs="Microsoft Sans Serif"/>
        </w:rPr>
        <w:t>podejmowani</w:t>
      </w:r>
      <w:r w:rsidR="00E4376D" w:rsidRPr="00313778">
        <w:rPr>
          <w:rFonts w:ascii="Microsoft Sans Serif" w:hAnsi="Microsoft Sans Serif" w:cs="Microsoft Sans Serif"/>
        </w:rPr>
        <w:t>e</w:t>
      </w:r>
      <w:r w:rsidR="00720D3A" w:rsidRPr="00313778">
        <w:rPr>
          <w:rFonts w:ascii="Microsoft Sans Serif" w:hAnsi="Microsoft Sans Serif" w:cs="Microsoft Sans Serif"/>
        </w:rPr>
        <w:t xml:space="preserve"> w ostatnich latach znaczących działań naprawczych.  </w:t>
      </w:r>
    </w:p>
    <w:p w:rsidR="00E4376D" w:rsidRPr="00313778" w:rsidRDefault="00E4376D" w:rsidP="00E4376D">
      <w:pPr>
        <w:pStyle w:val="Nagwek1"/>
      </w:pPr>
      <w:bookmarkStart w:id="7" w:name="_Toc381611290"/>
      <w:r w:rsidRPr="00313778">
        <w:t>4.   Minimalna i maksymalna kwota dofinansowania na projekt</w:t>
      </w:r>
      <w:bookmarkEnd w:id="7"/>
      <w:r w:rsidRPr="00313778">
        <w:t xml:space="preserve"> </w:t>
      </w:r>
    </w:p>
    <w:p w:rsidR="00E4376D" w:rsidRPr="00313778" w:rsidRDefault="00E4376D" w:rsidP="00E4376D">
      <w:pPr>
        <w:rPr>
          <w:rFonts w:ascii="Microsoft Sans Serif" w:hAnsi="Microsoft Sans Serif" w:cs="Microsoft Sans Serif"/>
        </w:rPr>
      </w:pPr>
    </w:p>
    <w:p w:rsidR="00E4376D" w:rsidRPr="00313778" w:rsidRDefault="00E4376D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Minimalną kwotą wsparcia, o jaką można się ubiegać jest 170 000 Euro.</w:t>
      </w:r>
    </w:p>
    <w:p w:rsidR="00E4376D" w:rsidRPr="00313778" w:rsidRDefault="00E4376D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Maksymalną kwotą wsparcia, o jaką można się ubiegać jest 1 500 000 Euro.</w:t>
      </w:r>
    </w:p>
    <w:p w:rsidR="00E4376D" w:rsidRPr="00313778" w:rsidRDefault="00E4376D" w:rsidP="00E4376D">
      <w:pPr>
        <w:rPr>
          <w:rFonts w:ascii="Microsoft Sans Serif" w:hAnsi="Microsoft Sans Serif" w:cs="Microsoft Sans Serif"/>
        </w:rPr>
      </w:pPr>
    </w:p>
    <w:p w:rsidR="00E4376D" w:rsidRPr="00313778" w:rsidRDefault="00E4376D" w:rsidP="00E4376D">
      <w:pPr>
        <w:pStyle w:val="Nagwek1"/>
      </w:pPr>
      <w:bookmarkStart w:id="8" w:name="_Toc381611291"/>
      <w:r w:rsidRPr="00313778">
        <w:t xml:space="preserve">5.   </w:t>
      </w:r>
      <w:r w:rsidR="000F3AF4" w:rsidRPr="00313778">
        <w:t>Poziom</w:t>
      </w:r>
      <w:r w:rsidRPr="00313778">
        <w:t xml:space="preserve"> </w:t>
      </w:r>
      <w:r w:rsidR="000F3AF4" w:rsidRPr="00313778">
        <w:t>dofinansowania</w:t>
      </w:r>
      <w:r w:rsidRPr="00313778">
        <w:t xml:space="preserve"> i górna granica </w:t>
      </w:r>
      <w:r w:rsidR="00E7367B" w:rsidRPr="00313778">
        <w:t>współ</w:t>
      </w:r>
      <w:r w:rsidRPr="00313778">
        <w:t>finansowania</w:t>
      </w:r>
      <w:bookmarkEnd w:id="8"/>
      <w:r w:rsidRPr="00313778">
        <w:t xml:space="preserve"> </w:t>
      </w:r>
    </w:p>
    <w:p w:rsidR="00E4376D" w:rsidRPr="00313778" w:rsidRDefault="00E4376D" w:rsidP="00E4376D">
      <w:pPr>
        <w:rPr>
          <w:rFonts w:ascii="Microsoft Sans Serif" w:hAnsi="Microsoft Sans Serif" w:cs="Microsoft Sans Serif"/>
        </w:rPr>
      </w:pPr>
    </w:p>
    <w:p w:rsidR="00E4376D" w:rsidRPr="00313778" w:rsidRDefault="000F3AF4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Poziom dofinansowania</w:t>
      </w:r>
      <w:r w:rsidR="00766DCE" w:rsidRPr="00313778">
        <w:rPr>
          <w:rFonts w:ascii="Microsoft Sans Serif" w:hAnsi="Microsoft Sans Serif" w:cs="Microsoft Sans Serif"/>
        </w:rPr>
        <w:t xml:space="preserve"> </w:t>
      </w:r>
      <w:r w:rsidR="00766DCE" w:rsidRPr="00313778">
        <w:rPr>
          <w:rFonts w:ascii="Microsoft Sans Serif" w:hAnsi="Microsoft Sans Serif" w:cs="Microsoft Sans Serif"/>
          <w:i/>
        </w:rPr>
        <w:t>będzie zgodn</w:t>
      </w:r>
      <w:r w:rsidRPr="00313778">
        <w:rPr>
          <w:rFonts w:ascii="Microsoft Sans Serif" w:hAnsi="Microsoft Sans Serif" w:cs="Microsoft Sans Serif"/>
          <w:i/>
        </w:rPr>
        <w:t>y</w:t>
      </w:r>
      <w:r w:rsidR="00766DCE" w:rsidRPr="00313778">
        <w:rPr>
          <w:rFonts w:ascii="Microsoft Sans Serif" w:hAnsi="Microsoft Sans Serif" w:cs="Microsoft Sans Serif"/>
        </w:rPr>
        <w:t xml:space="preserve"> z obowiązującym prawem dotyczącym pomocy publicznej z uwzględnieniem korzyści ekonomicznych i wszystkich innych istotnych aspektów.  </w:t>
      </w:r>
    </w:p>
    <w:p w:rsidR="00766DCE" w:rsidRPr="00313778" w:rsidRDefault="00766DCE" w:rsidP="00E4376D">
      <w:pPr>
        <w:rPr>
          <w:rFonts w:ascii="Microsoft Sans Serif" w:hAnsi="Microsoft Sans Serif" w:cs="Microsoft Sans Serif"/>
        </w:rPr>
      </w:pPr>
    </w:p>
    <w:p w:rsidR="00766DCE" w:rsidRPr="00313778" w:rsidRDefault="000F3AF4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Promotor Projektu i/lub Partner/Partnerzy Projektu muszą zapewnić współfinansowanie w gotówce. </w:t>
      </w:r>
      <w:r w:rsidR="000F37D4" w:rsidRPr="00313778">
        <w:rPr>
          <w:rFonts w:ascii="Microsoft Sans Serif" w:hAnsi="Microsoft Sans Serif" w:cs="Microsoft Sans Serif"/>
        </w:rPr>
        <w:t>W przeciwnym razie</w:t>
      </w:r>
      <w:r w:rsidR="00E7367B" w:rsidRPr="00313778">
        <w:rPr>
          <w:rFonts w:ascii="Microsoft Sans Serif" w:hAnsi="Microsoft Sans Serif" w:cs="Microsoft Sans Serif"/>
        </w:rPr>
        <w:t>, Wniosek</w:t>
      </w:r>
      <w:r w:rsidR="000F37D4" w:rsidRPr="00313778">
        <w:rPr>
          <w:rFonts w:ascii="Microsoft Sans Serif" w:hAnsi="Microsoft Sans Serif" w:cs="Microsoft Sans Serif"/>
        </w:rPr>
        <w:t xml:space="preserve"> zostanie odrzucony podczas procesu oceny.  Postanowienia dotyczące kwestii współfinansowania, takie jak przelew części współfinansowania w gotówce na rachunek bankowy projektu przed wypłatą zaliczki zostaną określone w </w:t>
      </w:r>
      <w:r w:rsidR="003F3EB3" w:rsidRPr="00313778">
        <w:rPr>
          <w:rFonts w:ascii="Microsoft Sans Serif" w:hAnsi="Microsoft Sans Serif" w:cs="Microsoft Sans Serif"/>
        </w:rPr>
        <w:t xml:space="preserve">części </w:t>
      </w:r>
      <w:r w:rsidR="000F37D4" w:rsidRPr="00313778">
        <w:rPr>
          <w:rFonts w:ascii="Microsoft Sans Serif" w:hAnsi="Microsoft Sans Serif" w:cs="Microsoft Sans Serif"/>
        </w:rPr>
        <w:t>Warunk</w:t>
      </w:r>
      <w:r w:rsidR="003F3EB3" w:rsidRPr="00313778">
        <w:rPr>
          <w:rFonts w:ascii="Microsoft Sans Serif" w:hAnsi="Microsoft Sans Serif" w:cs="Microsoft Sans Serif"/>
        </w:rPr>
        <w:t>i</w:t>
      </w:r>
      <w:r w:rsidR="000F37D4" w:rsidRPr="00313778">
        <w:rPr>
          <w:rFonts w:ascii="Microsoft Sans Serif" w:hAnsi="Microsoft Sans Serif" w:cs="Microsoft Sans Serif"/>
        </w:rPr>
        <w:t xml:space="preserve"> Specjaln</w:t>
      </w:r>
      <w:r w:rsidR="003F3EB3" w:rsidRPr="00313778">
        <w:rPr>
          <w:rFonts w:ascii="Microsoft Sans Serif" w:hAnsi="Microsoft Sans Serif" w:cs="Microsoft Sans Serif"/>
        </w:rPr>
        <w:t xml:space="preserve">e Umowy Projektu.  </w:t>
      </w:r>
      <w:r w:rsidR="00333BC3" w:rsidRPr="00313778">
        <w:rPr>
          <w:rFonts w:ascii="Microsoft Sans Serif" w:hAnsi="Microsoft Sans Serif" w:cs="Microsoft Sans Serif"/>
        </w:rPr>
        <w:t xml:space="preserve">Innym sposobem </w:t>
      </w:r>
      <w:r w:rsidR="00B1522F" w:rsidRPr="00313778">
        <w:rPr>
          <w:rFonts w:ascii="Microsoft Sans Serif" w:hAnsi="Microsoft Sans Serif" w:cs="Microsoft Sans Serif"/>
        </w:rPr>
        <w:t xml:space="preserve">mającym na celu zapewnienie wystarczającego współfinansowania będzie obowiązkowy </w:t>
      </w:r>
      <w:r w:rsidRPr="00313778">
        <w:rPr>
          <w:rFonts w:ascii="Microsoft Sans Serif" w:hAnsi="Microsoft Sans Serif" w:cs="Microsoft Sans Serif"/>
        </w:rPr>
        <w:t>dokument „Zobowiązania do realizacji projektu”</w:t>
      </w:r>
      <w:r w:rsidR="00B1522F" w:rsidRPr="00313778">
        <w:rPr>
          <w:rFonts w:ascii="Microsoft Sans Serif" w:hAnsi="Microsoft Sans Serif" w:cs="Microsoft Sans Serif"/>
        </w:rPr>
        <w:t xml:space="preserve"> od właścicieli prywatnego przedsiębiorstwa i od partnera/partnerów projektu z kraju darczyńcy.</w:t>
      </w:r>
    </w:p>
    <w:p w:rsidR="00B1522F" w:rsidRPr="00313778" w:rsidRDefault="00B1522F" w:rsidP="00E4376D">
      <w:pPr>
        <w:rPr>
          <w:rFonts w:ascii="Microsoft Sans Serif" w:hAnsi="Microsoft Sans Serif" w:cs="Microsoft Sans Serif"/>
        </w:rPr>
      </w:pPr>
    </w:p>
    <w:p w:rsidR="009A6E18" w:rsidRPr="00313778" w:rsidRDefault="00B1522F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Wkład Promotora Projektu i Partnera/Partnerów w postaci godzin pracy będzie akceptowany</w:t>
      </w:r>
      <w:r w:rsidR="00900074">
        <w:rPr>
          <w:rFonts w:ascii="Microsoft Sans Serif" w:hAnsi="Microsoft Sans Serif" w:cs="Microsoft Sans Serif"/>
        </w:rPr>
        <w:t xml:space="preserve"> </w:t>
      </w:r>
      <w:r w:rsidR="009A6E18" w:rsidRPr="00313778">
        <w:rPr>
          <w:rFonts w:ascii="Microsoft Sans Serif" w:hAnsi="Microsoft Sans Serif" w:cs="Microsoft Sans Serif"/>
        </w:rPr>
        <w:t xml:space="preserve">jako wkład pieniężny, na podstawie zatwierdzonych stawek godzinowych wynagrodzenia.  </w:t>
      </w:r>
    </w:p>
    <w:p w:rsidR="009A6E18" w:rsidRPr="00313778" w:rsidRDefault="009A6E18" w:rsidP="009A6E18">
      <w:pPr>
        <w:pStyle w:val="Nagwek1"/>
      </w:pPr>
      <w:bookmarkStart w:id="9" w:name="_Toc381611292"/>
      <w:r w:rsidRPr="00313778">
        <w:t>6.  Czas trwania projektów</w:t>
      </w:r>
      <w:bookmarkEnd w:id="9"/>
      <w:r w:rsidRPr="00313778">
        <w:t xml:space="preserve"> </w:t>
      </w:r>
    </w:p>
    <w:p w:rsidR="009A6E18" w:rsidRPr="00313778" w:rsidRDefault="009A6E18" w:rsidP="00E4376D">
      <w:pPr>
        <w:rPr>
          <w:rFonts w:ascii="Microsoft Sans Serif" w:hAnsi="Microsoft Sans Serif" w:cs="Microsoft Sans Serif"/>
        </w:rPr>
      </w:pPr>
    </w:p>
    <w:p w:rsidR="00B1522F" w:rsidRPr="00313778" w:rsidRDefault="009A6E18" w:rsidP="00E4376D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Termin realizacji projektów upływa 30 kwietnia 2017 r. i jest to jednocześnie koniec okresu kwalifikowalności do wdrażania programu.  Przewiduje się, że okres wdrażania projektów, którym zostanie przyznane dofinansowanie rozpocznie się najpóźniej w pierwszym kwartale 2015 r. , co oznacza, że planowany czas wdrażania projektów nie powinien wynieść więcej niż 28 miesięcy.  </w:t>
      </w:r>
    </w:p>
    <w:p w:rsidR="009A6E18" w:rsidRPr="00313778" w:rsidRDefault="009A6E18" w:rsidP="009A6E18">
      <w:pPr>
        <w:pStyle w:val="Nagwek1"/>
      </w:pPr>
      <w:bookmarkStart w:id="10" w:name="_Toc381611293"/>
      <w:r w:rsidRPr="00313778">
        <w:t>7.  Kwalifikowalność kosztów w projektach</w:t>
      </w:r>
      <w:bookmarkEnd w:id="10"/>
      <w:r w:rsidRPr="00313778">
        <w:t xml:space="preserve"> </w:t>
      </w:r>
    </w:p>
    <w:p w:rsidR="009A6E18" w:rsidRPr="00313778" w:rsidRDefault="009A6E18" w:rsidP="00E4376D">
      <w:pPr>
        <w:rPr>
          <w:rFonts w:ascii="Microsoft Sans Serif" w:hAnsi="Microsoft Sans Serif" w:cs="Microsoft Sans Serif"/>
        </w:rPr>
      </w:pPr>
    </w:p>
    <w:p w:rsidR="00900EED" w:rsidRPr="00313778" w:rsidRDefault="009A6E18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Ogólne zasady i szczegółowe postanowienia dotyczące kwalifikowalności kosztów zostały opisane </w:t>
      </w:r>
      <w:r w:rsidR="0041225F" w:rsidRPr="00313778">
        <w:rPr>
          <w:rFonts w:ascii="Microsoft Sans Serif" w:hAnsi="Microsoft Sans Serif" w:cs="Microsoft Sans Serif"/>
        </w:rPr>
        <w:t xml:space="preserve">w Zasadach i procedurach Programu.  W przypadku wnioskodawców lub projektów </w:t>
      </w:r>
      <w:r w:rsidR="000F3AF4" w:rsidRPr="00313778">
        <w:rPr>
          <w:rFonts w:ascii="Microsoft Sans Serif" w:hAnsi="Microsoft Sans Serif" w:cs="Microsoft Sans Serif"/>
        </w:rPr>
        <w:t>prowadzących</w:t>
      </w:r>
      <w:r w:rsidR="0041225F" w:rsidRPr="00313778">
        <w:rPr>
          <w:rFonts w:ascii="Microsoft Sans Serif" w:hAnsi="Microsoft Sans Serif" w:cs="Microsoft Sans Serif"/>
        </w:rPr>
        <w:t xml:space="preserve"> działalność gospodarczą, zastosowanie będą miały przepisy UE/EOG o pomocy publicznej.   Pomoc w postaci grantu ogranicza się zwykle do </w:t>
      </w:r>
      <w:r w:rsidR="00556A28" w:rsidRPr="00313778">
        <w:rPr>
          <w:rFonts w:ascii="Microsoft Sans Serif" w:hAnsi="Microsoft Sans Serif" w:cs="Microsoft Sans Serif"/>
        </w:rPr>
        <w:t xml:space="preserve">postanowień Ogólnego Rozporządzenia w Sprawie Wyłączeń Blokowych (GBER) </w:t>
      </w:r>
      <w:hyperlink r:id="rId11" w:history="1">
        <w:r w:rsidR="00556A28" w:rsidRPr="00313778">
          <w:rPr>
            <w:rStyle w:val="Hipercze"/>
            <w:rFonts w:ascii="Microsoft Sans Serif" w:hAnsi="Microsoft Sans Serif" w:cs="Microsoft Sans Serif"/>
          </w:rPr>
          <w:t>http://ec.europa.eu/competition/state_aid/legislation/block.html</w:t>
        </w:r>
      </w:hyperlink>
      <w:r w:rsidR="00556A28" w:rsidRPr="00313778">
        <w:rPr>
          <w:rFonts w:ascii="Microsoft Sans Serif" w:hAnsi="Microsoft Sans Serif" w:cs="Microsoft Sans Serif"/>
        </w:rPr>
        <w:t xml:space="preserve"> </w:t>
      </w:r>
    </w:p>
    <w:p w:rsidR="00556A28" w:rsidRPr="00313778" w:rsidRDefault="00556A28" w:rsidP="00CA25AF">
      <w:pPr>
        <w:rPr>
          <w:rFonts w:ascii="Microsoft Sans Serif" w:hAnsi="Microsoft Sans Serif" w:cs="Microsoft Sans Serif"/>
        </w:rPr>
      </w:pPr>
    </w:p>
    <w:p w:rsidR="00D73CB4" w:rsidRPr="00313778" w:rsidRDefault="00D73CB4" w:rsidP="00CA25AF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Kwalifikowalność kosztów wsparcia finansowego (pomocy) </w:t>
      </w:r>
      <w:r w:rsidR="00D125AA" w:rsidRPr="00313778">
        <w:rPr>
          <w:rFonts w:ascii="Microsoft Sans Serif" w:hAnsi="Microsoft Sans Serif" w:cs="Microsoft Sans Serif"/>
        </w:rPr>
        <w:t xml:space="preserve">podzielona jest na </w:t>
      </w:r>
      <w:r w:rsidRPr="00313778">
        <w:rPr>
          <w:rFonts w:ascii="Microsoft Sans Serif" w:hAnsi="Microsoft Sans Serif" w:cs="Microsoft Sans Serif"/>
        </w:rPr>
        <w:t>następując</w:t>
      </w:r>
      <w:r w:rsidR="00D125AA" w:rsidRPr="00313778">
        <w:rPr>
          <w:rFonts w:ascii="Microsoft Sans Serif" w:hAnsi="Microsoft Sans Serif" w:cs="Microsoft Sans Serif"/>
        </w:rPr>
        <w:t xml:space="preserve">e </w:t>
      </w:r>
      <w:r w:rsidRPr="00313778">
        <w:rPr>
          <w:rFonts w:ascii="Microsoft Sans Serif" w:hAnsi="Microsoft Sans Serif" w:cs="Microsoft Sans Serif"/>
        </w:rPr>
        <w:t xml:space="preserve"> kategori</w:t>
      </w:r>
      <w:r w:rsidR="00D125AA" w:rsidRPr="00313778">
        <w:rPr>
          <w:rFonts w:ascii="Microsoft Sans Serif" w:hAnsi="Microsoft Sans Serif" w:cs="Microsoft Sans Serif"/>
        </w:rPr>
        <w:t>e</w:t>
      </w:r>
      <w:r w:rsidRPr="00313778">
        <w:rPr>
          <w:rFonts w:ascii="Microsoft Sans Serif" w:hAnsi="Microsoft Sans Serif" w:cs="Microsoft Sans Serif"/>
        </w:rPr>
        <w:t xml:space="preserve">:  </w:t>
      </w:r>
    </w:p>
    <w:p w:rsidR="00D73CB4" w:rsidRPr="00313778" w:rsidRDefault="00D73CB4" w:rsidP="00CA25AF">
      <w:pPr>
        <w:rPr>
          <w:rFonts w:ascii="Microsoft Sans Serif" w:hAnsi="Microsoft Sans Serif" w:cs="Microsoft Sans Serif"/>
        </w:rPr>
      </w:pPr>
    </w:p>
    <w:p w:rsidR="00556A28" w:rsidRPr="00313778" w:rsidRDefault="00D73CB4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Pomoc regionalna, artykuł 13 – maksymaln</w:t>
      </w:r>
      <w:r w:rsidR="00692E0A" w:rsidRPr="00313778">
        <w:rPr>
          <w:rFonts w:ascii="Microsoft Sans Serif" w:hAnsi="Microsoft Sans Serif" w:cs="Microsoft Sans Serif"/>
        </w:rPr>
        <w:t>y</w:t>
      </w:r>
      <w:r w:rsidRPr="00313778">
        <w:rPr>
          <w:rFonts w:ascii="Microsoft Sans Serif" w:hAnsi="Microsoft Sans Serif" w:cs="Microsoft Sans Serif"/>
        </w:rPr>
        <w:t xml:space="preserve"> </w:t>
      </w:r>
      <w:r w:rsidR="00692E0A" w:rsidRPr="00313778">
        <w:rPr>
          <w:rFonts w:ascii="Microsoft Sans Serif" w:hAnsi="Microsoft Sans Serif" w:cs="Microsoft Sans Serif"/>
        </w:rPr>
        <w:t>poziom</w:t>
      </w:r>
      <w:r w:rsidRPr="00313778">
        <w:rPr>
          <w:rFonts w:ascii="Microsoft Sans Serif" w:hAnsi="Microsoft Sans Serif" w:cs="Microsoft Sans Serif"/>
        </w:rPr>
        <w:t xml:space="preserve"> </w:t>
      </w:r>
      <w:r w:rsidR="000F3AF4" w:rsidRPr="00313778">
        <w:rPr>
          <w:rFonts w:ascii="Microsoft Sans Serif" w:hAnsi="Microsoft Sans Serif" w:cs="Microsoft Sans Serif"/>
        </w:rPr>
        <w:t>dofinansowania</w:t>
      </w:r>
      <w:r w:rsidRPr="00313778">
        <w:rPr>
          <w:rFonts w:ascii="Microsoft Sans Serif" w:hAnsi="Microsoft Sans Serif" w:cs="Microsoft Sans Serif"/>
        </w:rPr>
        <w:t xml:space="preserve"> 50% plus 20%</w:t>
      </w:r>
      <w:r w:rsidR="00692E0A" w:rsidRPr="00313778">
        <w:rPr>
          <w:rFonts w:ascii="Microsoft Sans Serif" w:hAnsi="Microsoft Sans Serif" w:cs="Microsoft Sans Serif"/>
        </w:rPr>
        <w:t>-owa</w:t>
      </w:r>
      <w:r w:rsidRPr="00313778">
        <w:rPr>
          <w:rFonts w:ascii="Microsoft Sans Serif" w:hAnsi="Microsoft Sans Serif" w:cs="Microsoft Sans Serif"/>
        </w:rPr>
        <w:t xml:space="preserve"> </w:t>
      </w:r>
      <w:r w:rsidR="00692E0A" w:rsidRPr="00313778">
        <w:rPr>
          <w:rFonts w:ascii="Microsoft Sans Serif" w:hAnsi="Microsoft Sans Serif" w:cs="Microsoft Sans Serif"/>
        </w:rPr>
        <w:t>premia</w:t>
      </w:r>
      <w:r w:rsidRPr="00313778">
        <w:rPr>
          <w:rFonts w:ascii="Microsoft Sans Serif" w:hAnsi="Microsoft Sans Serif" w:cs="Microsoft Sans Serif"/>
        </w:rPr>
        <w:t xml:space="preserve"> dla małych przedsiębiorstw lub 10%</w:t>
      </w:r>
      <w:r w:rsidR="00692E0A" w:rsidRPr="00313778">
        <w:rPr>
          <w:rFonts w:ascii="Microsoft Sans Serif" w:hAnsi="Microsoft Sans Serif" w:cs="Microsoft Sans Serif"/>
        </w:rPr>
        <w:t>-owa</w:t>
      </w:r>
      <w:r w:rsidRPr="00313778">
        <w:rPr>
          <w:rFonts w:ascii="Microsoft Sans Serif" w:hAnsi="Microsoft Sans Serif" w:cs="Microsoft Sans Serif"/>
        </w:rPr>
        <w:t xml:space="preserve"> </w:t>
      </w:r>
      <w:r w:rsidR="00692E0A" w:rsidRPr="00313778">
        <w:rPr>
          <w:rFonts w:ascii="Microsoft Sans Serif" w:hAnsi="Microsoft Sans Serif" w:cs="Microsoft Sans Serif"/>
        </w:rPr>
        <w:t>premia</w:t>
      </w:r>
      <w:r w:rsidRPr="00313778">
        <w:rPr>
          <w:rFonts w:ascii="Microsoft Sans Serif" w:hAnsi="Microsoft Sans Serif" w:cs="Microsoft Sans Serif"/>
        </w:rPr>
        <w:t xml:space="preserve"> dla przedsiębiorstw średniej wielkości.  </w:t>
      </w:r>
    </w:p>
    <w:p w:rsidR="00D73CB4" w:rsidRPr="00313778" w:rsidRDefault="00D73CB4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Badania i Rozwój oraz Innowacje, Rozdział 7 – rozwój eksperymentalny </w:t>
      </w:r>
      <w:r w:rsidR="00692E0A" w:rsidRPr="00313778">
        <w:rPr>
          <w:rFonts w:ascii="Microsoft Sans Serif" w:hAnsi="Microsoft Sans Serif" w:cs="Microsoft Sans Serif"/>
        </w:rPr>
        <w:t>–</w:t>
      </w:r>
      <w:r w:rsidRPr="00313778">
        <w:rPr>
          <w:rFonts w:ascii="Microsoft Sans Serif" w:hAnsi="Microsoft Sans Serif" w:cs="Microsoft Sans Serif"/>
        </w:rPr>
        <w:t xml:space="preserve"> </w:t>
      </w:r>
      <w:r w:rsidR="00692E0A" w:rsidRPr="00313778">
        <w:rPr>
          <w:rFonts w:ascii="Microsoft Sans Serif" w:hAnsi="Microsoft Sans Serif" w:cs="Microsoft Sans Serif"/>
        </w:rPr>
        <w:t xml:space="preserve">maksymalny poziom </w:t>
      </w:r>
      <w:r w:rsidR="000F3AF4" w:rsidRPr="00313778">
        <w:rPr>
          <w:rFonts w:ascii="Microsoft Sans Serif" w:hAnsi="Microsoft Sans Serif" w:cs="Microsoft Sans Serif"/>
        </w:rPr>
        <w:t>dofinansowania</w:t>
      </w:r>
      <w:r w:rsidR="00692E0A" w:rsidRPr="00313778">
        <w:rPr>
          <w:rFonts w:ascii="Microsoft Sans Serif" w:hAnsi="Microsoft Sans Serif" w:cs="Microsoft Sans Serif"/>
        </w:rPr>
        <w:t xml:space="preserve"> 25% plus premie dla MŚP oraz premie za współpracę w wysokości 15% </w:t>
      </w:r>
      <w:r w:rsidR="000F3AF4" w:rsidRPr="00313778">
        <w:rPr>
          <w:rFonts w:ascii="Microsoft Sans Serif" w:hAnsi="Microsoft Sans Serif" w:cs="Microsoft Sans Serif"/>
        </w:rPr>
        <w:t xml:space="preserve">udzielane </w:t>
      </w:r>
      <w:r w:rsidR="00692E0A" w:rsidRPr="00313778">
        <w:rPr>
          <w:rFonts w:ascii="Microsoft Sans Serif" w:hAnsi="Microsoft Sans Serif" w:cs="Microsoft Sans Serif"/>
        </w:rPr>
        <w:t xml:space="preserve">pod pewnymi warunkami </w:t>
      </w:r>
    </w:p>
    <w:p w:rsidR="00692E0A" w:rsidRPr="00313778" w:rsidRDefault="00692E0A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Pomoc na rzecz ochrony środowiska naturalnego - maksymalny poziom </w:t>
      </w:r>
      <w:r w:rsidR="000F3AF4" w:rsidRPr="00313778">
        <w:rPr>
          <w:rFonts w:ascii="Microsoft Sans Serif" w:hAnsi="Microsoft Sans Serif" w:cs="Microsoft Sans Serif"/>
        </w:rPr>
        <w:t>dofinansowania</w:t>
      </w:r>
      <w:r w:rsidRPr="00313778">
        <w:rPr>
          <w:rFonts w:ascii="Microsoft Sans Serif" w:hAnsi="Microsoft Sans Serif" w:cs="Microsoft Sans Serif"/>
        </w:rPr>
        <w:t xml:space="preserve"> 35% plus premie dla MŚP.</w:t>
      </w:r>
    </w:p>
    <w:p w:rsidR="00692E0A" w:rsidRPr="00313778" w:rsidRDefault="00692E0A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Pomoc na szkolenia – szkolenia na konkretny temat 25%, szkolenia ogólne 60% plus premie dla MŚP.</w:t>
      </w:r>
    </w:p>
    <w:p w:rsidR="00692E0A" w:rsidRPr="00313778" w:rsidRDefault="00692E0A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Pomoc na doradztwo </w:t>
      </w:r>
      <w:r w:rsidR="00364246" w:rsidRPr="00313778">
        <w:rPr>
          <w:rFonts w:ascii="Microsoft Sans Serif" w:hAnsi="Microsoft Sans Serif" w:cs="Microsoft Sans Serif"/>
        </w:rPr>
        <w:t>dla</w:t>
      </w:r>
      <w:r w:rsidRPr="00313778">
        <w:rPr>
          <w:rFonts w:ascii="Microsoft Sans Serif" w:hAnsi="Microsoft Sans Serif" w:cs="Microsoft Sans Serif"/>
        </w:rPr>
        <w:t xml:space="preserve"> MŚP – maksymalny poziom </w:t>
      </w:r>
      <w:r w:rsidR="00364246" w:rsidRPr="00313778">
        <w:rPr>
          <w:rFonts w:ascii="Microsoft Sans Serif" w:hAnsi="Microsoft Sans Serif" w:cs="Microsoft Sans Serif"/>
        </w:rPr>
        <w:t>dofinansowania</w:t>
      </w:r>
      <w:r w:rsidRPr="00313778">
        <w:rPr>
          <w:rFonts w:ascii="Microsoft Sans Serif" w:hAnsi="Microsoft Sans Serif" w:cs="Microsoft Sans Serif"/>
        </w:rPr>
        <w:t xml:space="preserve"> to 50%.</w:t>
      </w:r>
    </w:p>
    <w:p w:rsidR="00692E0A" w:rsidRPr="00313778" w:rsidRDefault="00692E0A" w:rsidP="00D73CB4">
      <w:pPr>
        <w:pStyle w:val="Akapitzlist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 specjalnych przypadkach, wsparcie finansowe zostanie przyznane jako </w:t>
      </w:r>
      <w:r w:rsidR="005E6DC3" w:rsidRPr="00313778">
        <w:rPr>
          <w:rFonts w:ascii="Microsoft Sans Serif" w:hAnsi="Microsoft Sans Serif" w:cs="Microsoft Sans Serif"/>
        </w:rPr>
        <w:t>pomoc</w:t>
      </w:r>
      <w:r w:rsidRPr="00313778">
        <w:rPr>
          <w:rFonts w:ascii="Microsoft Sans Serif" w:hAnsi="Microsoft Sans Serif" w:cs="Microsoft Sans Serif"/>
        </w:rPr>
        <w:t xml:space="preserve"> </w:t>
      </w:r>
      <w:r w:rsidRPr="00313778">
        <w:rPr>
          <w:rFonts w:ascii="Microsoft Sans Serif" w:hAnsi="Microsoft Sans Serif" w:cs="Microsoft Sans Serif"/>
          <w:i/>
        </w:rPr>
        <w:t xml:space="preserve">de minimis </w:t>
      </w:r>
      <w:r w:rsidR="005E6DC3" w:rsidRPr="00313778">
        <w:rPr>
          <w:rFonts w:ascii="Microsoft Sans Serif" w:hAnsi="Microsoft Sans Serif" w:cs="Microsoft Sans Serif"/>
        </w:rPr>
        <w:t xml:space="preserve">zgodnie z Rozporządzeniem Komisji Europejskiej (EC) nr 1998/2006 (maks. 200 000 Euro przez trzy lata podatkowe). </w:t>
      </w:r>
    </w:p>
    <w:p w:rsidR="005E6DC3" w:rsidRPr="00313778" w:rsidRDefault="005E6DC3" w:rsidP="005E6DC3">
      <w:pPr>
        <w:rPr>
          <w:rFonts w:ascii="Microsoft Sans Serif" w:hAnsi="Microsoft Sans Serif" w:cs="Microsoft Sans Serif"/>
        </w:rPr>
      </w:pPr>
    </w:p>
    <w:p w:rsidR="005E6DC3" w:rsidRPr="00313778" w:rsidRDefault="005E6DC3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 przypadkach, gdzie przepisy dotyczące kwalifikowalności w Ogólnym Rozporządzeniu w Sprawie Wyłączeń Blokowych (GBER) są bardziej obszerne niż szczegółowe postanowienia dotyczące kwalifikowalności zawarte w Zasadach i Procedurach dla tego Programu, to postanowienia Zasad i Procedur będą miały znaczenie nadrzędne.  </w:t>
      </w:r>
    </w:p>
    <w:p w:rsidR="005E6DC3" w:rsidRPr="00313778" w:rsidRDefault="005E6DC3" w:rsidP="005E6DC3">
      <w:pPr>
        <w:pStyle w:val="Nagwek1"/>
      </w:pPr>
      <w:bookmarkStart w:id="11" w:name="_Toc381611294"/>
      <w:r w:rsidRPr="00313778">
        <w:t>8.   Zamówienia</w:t>
      </w:r>
      <w:r w:rsidR="00B4448C" w:rsidRPr="00313778">
        <w:t xml:space="preserve"> publiczne</w:t>
      </w:r>
      <w:r w:rsidRPr="00313778">
        <w:t xml:space="preserve"> i pomoc publiczna</w:t>
      </w:r>
      <w:bookmarkEnd w:id="11"/>
      <w:r w:rsidRPr="00313778">
        <w:t xml:space="preserve"> </w:t>
      </w:r>
    </w:p>
    <w:p w:rsidR="005E6DC3" w:rsidRPr="00313778" w:rsidRDefault="005E6DC3" w:rsidP="005E6DC3">
      <w:pPr>
        <w:rPr>
          <w:rFonts w:ascii="Microsoft Sans Serif" w:hAnsi="Microsoft Sans Serif" w:cs="Microsoft Sans Serif"/>
        </w:rPr>
      </w:pPr>
    </w:p>
    <w:p w:rsidR="005E6DC3" w:rsidRPr="00313778" w:rsidRDefault="00B4448C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Przy realizacji projektu należy na każdym poziomie przestrzegać przepisów polskiego i unijnego prawa dotyczącego zamówień publicznych.  Promotor Projektu, który otrzymuje 50% lub więcej kosztu kwalifikowalnego projektu musi dokonywać zakupów dla tego projektu zgodnie z narodowym prawem o zamówieniach publicznych.  Postanowienia niniejszego ustępu stosują się na zasadzie </w:t>
      </w:r>
      <w:r w:rsidRPr="00313778">
        <w:rPr>
          <w:rFonts w:ascii="Microsoft Sans Serif" w:hAnsi="Microsoft Sans Serif" w:cs="Microsoft Sans Serif"/>
          <w:i/>
        </w:rPr>
        <w:t>mutatis mutandis</w:t>
      </w:r>
      <w:r w:rsidRPr="00313778">
        <w:rPr>
          <w:rFonts w:ascii="Microsoft Sans Serif" w:hAnsi="Microsoft Sans Serif" w:cs="Microsoft Sans Serif"/>
        </w:rPr>
        <w:t xml:space="preserve"> (z wszelkimi niezbędnymi zmianami) do partnerów projektu.</w:t>
      </w:r>
    </w:p>
    <w:p w:rsidR="00B4448C" w:rsidRPr="00313778" w:rsidRDefault="00B4448C" w:rsidP="005E6DC3">
      <w:pPr>
        <w:rPr>
          <w:rFonts w:ascii="Microsoft Sans Serif" w:hAnsi="Microsoft Sans Serif" w:cs="Microsoft Sans Serif"/>
        </w:rPr>
      </w:pPr>
    </w:p>
    <w:p w:rsidR="00B4448C" w:rsidRPr="00313778" w:rsidRDefault="00B4448C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Jeśli chodzi o pomoc publiczną, zapewniany grant musi być zgodny ze stosownym ustawodawstwem dotyczącym pomocy państwa, szczególnie obowiązującym Ogólnym  Rozporządzeniem w Sprawie Wyłączeń Blokowych (obecnie jest to rozporządzenie Komisji Europejskiej (EC) Nr 800/2008 z dnia 6 sierpnia 2008 r</w:t>
      </w:r>
      <w:r w:rsidRPr="00313778">
        <w:rPr>
          <w:rFonts w:ascii="Arial" w:hAnsi="Arial" w:cs="Arial"/>
        </w:rPr>
        <w:t xml:space="preserve">. </w:t>
      </w:r>
      <w:r w:rsidR="00DA0E96" w:rsidRPr="00313778">
        <w:rPr>
          <w:rFonts w:ascii="Arial" w:hAnsi="Arial" w:cs="Arial"/>
        </w:rPr>
        <w:t xml:space="preserve">uznające niektóre rodzaje pomocy za zgodne ze wspólnym rynkiem w zastosowaniu </w:t>
      </w:r>
      <w:r w:rsidR="00A54E5F" w:rsidRPr="00313778">
        <w:rPr>
          <w:rFonts w:ascii="Microsoft Sans Serif" w:hAnsi="Microsoft Sans Serif" w:cs="Microsoft Sans Serif"/>
        </w:rPr>
        <w:t xml:space="preserve"> Artykułów 87 i 88 Traktatu (obecnie 107 i 108 TFEU – Traktatu o Funkcjonowaniu Unii), </w:t>
      </w:r>
      <w:r w:rsidRPr="00313778">
        <w:rPr>
          <w:rFonts w:ascii="Microsoft Sans Serif" w:hAnsi="Microsoft Sans Serif" w:cs="Microsoft Sans Serif"/>
        </w:rPr>
        <w:t xml:space="preserve"> </w:t>
      </w:r>
      <w:r w:rsidR="00A54E5F" w:rsidRPr="00313778">
        <w:rPr>
          <w:rFonts w:ascii="Microsoft Sans Serif" w:hAnsi="Microsoft Sans Serif" w:cs="Microsoft Sans Serif"/>
        </w:rPr>
        <w:t xml:space="preserve">Ogólnego Rozporządzenia w Sprawie Wyłączeń Blokowych (GBER) (Dziennik Urzędowy Unii Europejskiej [Official Journal] 2008 L 214, str. 3) oraz unijnymi zasadami dotyczącymi </w:t>
      </w:r>
      <w:r w:rsidR="00A54E5F" w:rsidRPr="00313778">
        <w:rPr>
          <w:rFonts w:ascii="Microsoft Sans Serif" w:hAnsi="Microsoft Sans Serif" w:cs="Microsoft Sans Serif"/>
          <w:i/>
        </w:rPr>
        <w:t>de minimis.</w:t>
      </w:r>
      <w:r w:rsidR="00A54E5F" w:rsidRPr="00313778">
        <w:rPr>
          <w:rFonts w:ascii="Microsoft Sans Serif" w:hAnsi="Microsoft Sans Serif" w:cs="Microsoft Sans Serif"/>
        </w:rPr>
        <w:t xml:space="preserve"> </w:t>
      </w:r>
    </w:p>
    <w:p w:rsidR="004678F2" w:rsidRPr="00313778" w:rsidRDefault="004678F2" w:rsidP="004678F2">
      <w:pPr>
        <w:pStyle w:val="Nagwek1"/>
      </w:pPr>
      <w:bookmarkStart w:id="12" w:name="_Toc381611295"/>
      <w:r w:rsidRPr="00313778">
        <w:t>9.   Dofinansowanie podróży</w:t>
      </w:r>
      <w:bookmarkEnd w:id="12"/>
      <w:r w:rsidRPr="00313778">
        <w:t xml:space="preserve"> </w:t>
      </w:r>
    </w:p>
    <w:p w:rsidR="004678F2" w:rsidRPr="00313778" w:rsidRDefault="004678F2" w:rsidP="005E6DC3">
      <w:pPr>
        <w:rPr>
          <w:rFonts w:ascii="Microsoft Sans Serif" w:hAnsi="Microsoft Sans Serif" w:cs="Microsoft Sans Serif"/>
        </w:rPr>
      </w:pPr>
    </w:p>
    <w:p w:rsidR="004678F2" w:rsidRPr="00313778" w:rsidRDefault="00364246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N</w:t>
      </w:r>
      <w:r w:rsidR="004678F2" w:rsidRPr="00313778">
        <w:rPr>
          <w:rFonts w:ascii="Microsoft Sans Serif" w:hAnsi="Microsoft Sans Serif" w:cs="Microsoft Sans Serif"/>
        </w:rPr>
        <w:t xml:space="preserve">a dofinansowanie podróży w celu </w:t>
      </w:r>
      <w:r w:rsidRPr="00313778">
        <w:rPr>
          <w:rFonts w:ascii="Microsoft Sans Serif" w:hAnsi="Microsoft Sans Serif" w:cs="Microsoft Sans Serif"/>
        </w:rPr>
        <w:t>szukania</w:t>
      </w:r>
      <w:r w:rsidR="004678F2" w:rsidRPr="00313778">
        <w:rPr>
          <w:rFonts w:ascii="Microsoft Sans Serif" w:hAnsi="Microsoft Sans Serif" w:cs="Microsoft Sans Serif"/>
        </w:rPr>
        <w:t xml:space="preserve">/wspólnej pracy z partnerem/partnerami projektu przed lub podczas przygotowywania wniosku </w:t>
      </w:r>
      <w:r w:rsidR="00C90EAA" w:rsidRPr="00313778">
        <w:rPr>
          <w:rFonts w:ascii="Microsoft Sans Serif" w:hAnsi="Microsoft Sans Serif" w:cs="Microsoft Sans Serif"/>
        </w:rPr>
        <w:t xml:space="preserve">aplikacyjnego dla projektu </w:t>
      </w:r>
      <w:r w:rsidR="004678F2" w:rsidRPr="00313778">
        <w:rPr>
          <w:rFonts w:ascii="Microsoft Sans Serif" w:hAnsi="Microsoft Sans Serif" w:cs="Microsoft Sans Serif"/>
        </w:rPr>
        <w:t>partnerskiego z partnerem z kraju darczyńcy</w:t>
      </w:r>
      <w:r w:rsidRPr="00313778">
        <w:rPr>
          <w:rFonts w:ascii="Microsoft Sans Serif" w:hAnsi="Microsoft Sans Serif" w:cs="Microsoft Sans Serif"/>
        </w:rPr>
        <w:t xml:space="preserve"> przeznaczono budżet w wysokości 75 000 Euro.</w:t>
      </w:r>
    </w:p>
    <w:p w:rsidR="004678F2" w:rsidRPr="00313778" w:rsidRDefault="004678F2" w:rsidP="005E6DC3">
      <w:pPr>
        <w:rPr>
          <w:rFonts w:ascii="Microsoft Sans Serif" w:hAnsi="Microsoft Sans Serif" w:cs="Microsoft Sans Serif"/>
        </w:rPr>
      </w:pPr>
    </w:p>
    <w:p w:rsidR="004678F2" w:rsidRPr="00313778" w:rsidRDefault="004678F2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Terminem składania wniosków o dofinansowanie podróży jest 30 kwietnia 2014 r. Wnioski będą oceniane według kolejności zgłoszenia.  </w:t>
      </w:r>
    </w:p>
    <w:p w:rsidR="004678F2" w:rsidRPr="00313778" w:rsidRDefault="004678F2" w:rsidP="005E6DC3">
      <w:pPr>
        <w:rPr>
          <w:rFonts w:ascii="Microsoft Sans Serif" w:hAnsi="Microsoft Sans Serif" w:cs="Microsoft Sans Serif"/>
        </w:rPr>
      </w:pPr>
    </w:p>
    <w:p w:rsidR="004678F2" w:rsidRPr="00313778" w:rsidRDefault="004678F2" w:rsidP="004678F2">
      <w:pPr>
        <w:pStyle w:val="Nagwek2"/>
      </w:pPr>
      <w:bookmarkStart w:id="13" w:name="_Toc381611296"/>
      <w:r w:rsidRPr="00313778">
        <w:t>9.1   Uprawnieni wnioskodawcy</w:t>
      </w:r>
      <w:bookmarkEnd w:id="13"/>
      <w:r w:rsidRPr="00313778">
        <w:t xml:space="preserve">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Podmiotami uprawnionymi do ubiegania się o dofinansowanie podróży są podmioty prawne będące uprawnionymi wnioskodawcami na podstawie postanowień punktu 3.1 oraz uprawnieni partnerzy na podstawie postanowień punktu 3.2.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Wsparcie zostanie przekazane w formie ryczałtu na pokrycie kosztów podróży i zakwaterowania, będzie ono wynosiło nie więcej niż 1 200 Euro na jedną osobę na dany podmiot. 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Należy przestrzegać obowiązujących przepisów dotyczących pomocy publicznej.  Dofinansowanie podróży będzie udzielane jako pomoc </w:t>
      </w:r>
      <w:r w:rsidRPr="00313778">
        <w:rPr>
          <w:rFonts w:ascii="Microsoft Sans Serif" w:hAnsi="Microsoft Sans Serif" w:cs="Microsoft Sans Serif"/>
          <w:i/>
        </w:rPr>
        <w:t>de minimis</w:t>
      </w:r>
      <w:r w:rsidRPr="00313778">
        <w:rPr>
          <w:rFonts w:ascii="Microsoft Sans Serif" w:hAnsi="Microsoft Sans Serif" w:cs="Microsoft Sans Serif"/>
        </w:rPr>
        <w:t xml:space="preserve"> dla przedsiębiorstw. 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Szczegółowe wytyczne oraz dalsze informacje na temat procesu składania wniosków o dofinansowanie podróży można znaleźć na stronie internetowej Programu.</w:t>
      </w:r>
    </w:p>
    <w:p w:rsidR="0037788E" w:rsidRPr="00313778" w:rsidRDefault="0037788E" w:rsidP="0037788E">
      <w:pPr>
        <w:pStyle w:val="Nagwek1"/>
      </w:pPr>
      <w:bookmarkStart w:id="14" w:name="_Toc381611297"/>
      <w:r w:rsidRPr="00313778">
        <w:t>10.  Kryteria oceny wniosków i metodologia</w:t>
      </w:r>
      <w:bookmarkEnd w:id="14"/>
      <w:r w:rsidRPr="00313778">
        <w:t xml:space="preserve">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 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Niniejszy </w:t>
      </w:r>
      <w:r w:rsidR="00364246" w:rsidRPr="00313778">
        <w:rPr>
          <w:rFonts w:ascii="Microsoft Sans Serif" w:hAnsi="Microsoft Sans Serif" w:cs="Microsoft Sans Serif"/>
        </w:rPr>
        <w:t>punkt</w:t>
      </w:r>
      <w:r w:rsidRPr="00313778">
        <w:rPr>
          <w:rFonts w:ascii="Microsoft Sans Serif" w:hAnsi="Microsoft Sans Serif" w:cs="Microsoft Sans Serif"/>
        </w:rPr>
        <w:t xml:space="preserve"> odnosi się do oceny </w:t>
      </w:r>
      <w:r w:rsidR="00F9665F" w:rsidRPr="00313778">
        <w:rPr>
          <w:rFonts w:ascii="Microsoft Sans Serif" w:hAnsi="Microsoft Sans Serif" w:cs="Microsoft Sans Serif"/>
        </w:rPr>
        <w:t xml:space="preserve">Indywidualnego Schematu Grantowego </w:t>
      </w:r>
      <w:r w:rsidRPr="00313778">
        <w:rPr>
          <w:rFonts w:ascii="Microsoft Sans Serif" w:hAnsi="Microsoft Sans Serif" w:cs="Microsoft Sans Serif"/>
        </w:rPr>
        <w:t xml:space="preserve">Systemu Projektów Indywidualnych. </w:t>
      </w:r>
    </w:p>
    <w:p w:rsidR="0037788E" w:rsidRPr="00313778" w:rsidRDefault="0037788E" w:rsidP="005E6DC3">
      <w:pPr>
        <w:rPr>
          <w:rFonts w:ascii="Microsoft Sans Serif" w:hAnsi="Microsoft Sans Serif" w:cs="Microsoft Sans Serif"/>
        </w:rPr>
      </w:pPr>
    </w:p>
    <w:p w:rsidR="00193879" w:rsidRPr="00313778" w:rsidRDefault="0037788E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Innovation Norway dokona oceny wszystkich wniosków projektowych na podstawie kryteriów dotyczących kwalifikowalności, selekcji i przyznania środków określonych w Zasadach i Procedurach na temat wdrażania Programu Innowacji w zakresie zielonych </w:t>
      </w:r>
      <w:r w:rsidR="00364246" w:rsidRPr="00313778">
        <w:rPr>
          <w:rFonts w:ascii="Microsoft Sans Serif" w:hAnsi="Microsoft Sans Serif" w:cs="Microsoft Sans Serif"/>
        </w:rPr>
        <w:t>technologii</w:t>
      </w:r>
      <w:r w:rsidRPr="00313778">
        <w:rPr>
          <w:rFonts w:ascii="Microsoft Sans Serif" w:hAnsi="Microsoft Sans Serif" w:cs="Microsoft Sans Serif"/>
        </w:rPr>
        <w:t xml:space="preserve"> w Polsce</w:t>
      </w:r>
      <w:r w:rsidR="00193879" w:rsidRPr="00313778">
        <w:rPr>
          <w:rFonts w:ascii="Microsoft Sans Serif" w:hAnsi="Microsoft Sans Serif" w:cs="Microsoft Sans Serif"/>
        </w:rPr>
        <w:t>.</w:t>
      </w:r>
    </w:p>
    <w:p w:rsidR="00193879" w:rsidRPr="00313778" w:rsidRDefault="00193879" w:rsidP="005E6DC3">
      <w:pPr>
        <w:rPr>
          <w:rFonts w:ascii="Microsoft Sans Serif" w:hAnsi="Microsoft Sans Serif" w:cs="Microsoft Sans Serif"/>
        </w:rPr>
      </w:pPr>
    </w:p>
    <w:p w:rsidR="004678F2" w:rsidRPr="00313778" w:rsidRDefault="00193879" w:rsidP="005E6DC3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Innovation Norway dokona przeglądu wniosków otrzymanych w terminie wyznaczonym w Ogłoszeniu o naborze wniosków i jeśli ujawnione zostaną jakiekolwiek braki dotyczące kryteriów formalnych/administracyjnych, to </w:t>
      </w:r>
      <w:r w:rsidR="00364246" w:rsidRPr="00313778">
        <w:rPr>
          <w:rFonts w:ascii="Microsoft Sans Serif" w:hAnsi="Microsoft Sans Serif" w:cs="Microsoft Sans Serif"/>
        </w:rPr>
        <w:t xml:space="preserve">będą mogły </w:t>
      </w:r>
      <w:r w:rsidRPr="00313778">
        <w:rPr>
          <w:rFonts w:ascii="Microsoft Sans Serif" w:hAnsi="Microsoft Sans Serif" w:cs="Microsoft Sans Serif"/>
        </w:rPr>
        <w:t xml:space="preserve">one zostać poprawione przez Wnioskodawcę na pisemną prośbę Innovation Norway.  Wnioskodawcy, których wnioski zostaną odrzucone na tym etapie zostaną </w:t>
      </w:r>
      <w:r w:rsidR="00364246" w:rsidRPr="00313778">
        <w:rPr>
          <w:rFonts w:ascii="Microsoft Sans Serif" w:hAnsi="Microsoft Sans Serif" w:cs="Microsoft Sans Serif"/>
        </w:rPr>
        <w:t xml:space="preserve">o tym </w:t>
      </w:r>
      <w:r w:rsidRPr="00313778">
        <w:rPr>
          <w:rFonts w:ascii="Microsoft Sans Serif" w:hAnsi="Microsoft Sans Serif" w:cs="Microsoft Sans Serif"/>
        </w:rPr>
        <w:t>poinformowani na piśmie i będą mieli dwa tygodnie na odwołanie się od tej decyzji do Innovation Norway.</w:t>
      </w:r>
    </w:p>
    <w:p w:rsidR="00193879" w:rsidRPr="00313778" w:rsidRDefault="00193879" w:rsidP="005E6DC3">
      <w:pPr>
        <w:rPr>
          <w:rFonts w:ascii="Microsoft Sans Serif" w:hAnsi="Microsoft Sans Serif" w:cs="Microsoft Sans Serif"/>
        </w:rPr>
      </w:pPr>
    </w:p>
    <w:p w:rsidR="00172290" w:rsidRPr="00313778" w:rsidRDefault="00172290" w:rsidP="00172290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Wnioski, które spełniają kryteria formalne/administracyjne, a także kryteria kwalifikowalności będą następnie poddane procesowi pełnej oceny zorganizowanemu przez Innovation Norway.   Innovation Norway może w procesie oceny korzystać z pomocy ekspertów z zewnątrz. </w:t>
      </w:r>
    </w:p>
    <w:p w:rsidR="00172290" w:rsidRPr="00313778" w:rsidRDefault="00172290" w:rsidP="00172290">
      <w:pPr>
        <w:rPr>
          <w:rFonts w:ascii="Microsoft Sans Serif" w:hAnsi="Microsoft Sans Serif" w:cs="Microsoft Sans Serif"/>
        </w:rPr>
      </w:pPr>
    </w:p>
    <w:p w:rsidR="00193879" w:rsidRPr="00313778" w:rsidRDefault="00172290" w:rsidP="00172290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Wnioski projektowe muszą być zgodne z określonym </w:t>
      </w:r>
      <w:r w:rsidR="00995BB0" w:rsidRPr="00313778">
        <w:rPr>
          <w:rFonts w:ascii="Microsoft Sans Serif" w:hAnsi="Microsoft Sans Serif" w:cs="Microsoft Sans Serif"/>
        </w:rPr>
        <w:t>zestawem kryteriów oceny.  Wyznacznikiem tych kryteriów są cele i rezultaty</w:t>
      </w:r>
      <w:r w:rsidR="00002E22">
        <w:rPr>
          <w:rFonts w:ascii="Microsoft Sans Serif" w:hAnsi="Microsoft Sans Serif" w:cs="Microsoft Sans Serif"/>
        </w:rPr>
        <w:t>,</w:t>
      </w:r>
      <w:r w:rsidR="00995BB0" w:rsidRPr="00313778">
        <w:rPr>
          <w:rFonts w:ascii="Microsoft Sans Serif" w:hAnsi="Microsoft Sans Serif" w:cs="Microsoft Sans Serif"/>
        </w:rPr>
        <w:t xml:space="preserve"> jakie mają być osiągnięte w ramach Programu.  Cele i zasady dobrego rządzenia, zrównoważonego rozwoju oraz równego statusu płci są zagadnieniami przekrojowymi, które będą uważane za część procesu oceny, </w:t>
      </w:r>
      <w:r w:rsidR="000C3F4E" w:rsidRPr="00313778">
        <w:rPr>
          <w:rFonts w:ascii="Microsoft Sans Serif" w:hAnsi="Microsoft Sans Serif" w:cs="Microsoft Sans Serif"/>
        </w:rPr>
        <w:t>dotyczy to</w:t>
      </w:r>
      <w:r w:rsidR="00995BB0" w:rsidRPr="00313778">
        <w:rPr>
          <w:rFonts w:ascii="Microsoft Sans Serif" w:hAnsi="Microsoft Sans Serif" w:cs="Microsoft Sans Serif"/>
        </w:rPr>
        <w:t xml:space="preserve"> również Społeczn</w:t>
      </w:r>
      <w:r w:rsidR="000C3F4E" w:rsidRPr="00313778">
        <w:rPr>
          <w:rFonts w:ascii="Microsoft Sans Serif" w:hAnsi="Microsoft Sans Serif" w:cs="Microsoft Sans Serif"/>
        </w:rPr>
        <w:t>ej</w:t>
      </w:r>
      <w:r w:rsidR="00995BB0" w:rsidRPr="00313778">
        <w:rPr>
          <w:rFonts w:ascii="Microsoft Sans Serif" w:hAnsi="Microsoft Sans Serif" w:cs="Microsoft Sans Serif"/>
        </w:rPr>
        <w:t xml:space="preserve"> Odpowiedzialnoś</w:t>
      </w:r>
      <w:r w:rsidR="000C3F4E" w:rsidRPr="00313778">
        <w:rPr>
          <w:rFonts w:ascii="Microsoft Sans Serif" w:hAnsi="Microsoft Sans Serif" w:cs="Microsoft Sans Serif"/>
        </w:rPr>
        <w:t>ci</w:t>
      </w:r>
      <w:r w:rsidR="00995BB0" w:rsidRPr="00313778">
        <w:rPr>
          <w:rFonts w:ascii="Microsoft Sans Serif" w:hAnsi="Microsoft Sans Serif" w:cs="Microsoft Sans Serif"/>
        </w:rPr>
        <w:t xml:space="preserve"> Biznesu (CSR).</w:t>
      </w:r>
    </w:p>
    <w:p w:rsidR="00995BB0" w:rsidRPr="00313778" w:rsidRDefault="00995BB0" w:rsidP="00172290">
      <w:pPr>
        <w:rPr>
          <w:rFonts w:ascii="Microsoft Sans Serif" w:hAnsi="Microsoft Sans Serif" w:cs="Microsoft Sans Serif"/>
        </w:rPr>
      </w:pPr>
    </w:p>
    <w:p w:rsidR="00494F76" w:rsidRPr="00313778" w:rsidRDefault="00494F76" w:rsidP="00172290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Kryteria oceny wniosków zostały podzielone na następujące grupy:</w:t>
      </w:r>
    </w:p>
    <w:p w:rsidR="00494F76" w:rsidRPr="00313778" w:rsidRDefault="00494F76" w:rsidP="00172290">
      <w:pPr>
        <w:rPr>
          <w:rFonts w:ascii="Microsoft Sans Serif" w:hAnsi="Microsoft Sans Serif" w:cs="Microsoft Sans Serif"/>
        </w:rPr>
      </w:pPr>
    </w:p>
    <w:p w:rsidR="00494F76" w:rsidRPr="00313778" w:rsidRDefault="00494F76" w:rsidP="000C3F4E">
      <w:pPr>
        <w:spacing w:after="6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i/>
        </w:rPr>
        <w:t xml:space="preserve">1.  Kryteria formalne/administracyjne </w:t>
      </w:r>
    </w:p>
    <w:p w:rsidR="00B71D0D" w:rsidRPr="00313778" w:rsidRDefault="00494F76" w:rsidP="000C3F4E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Wniosek został wypełniony zgodnie z instrukcjami podanymi w Ogłoszeniu o naborze wniosków, </w:t>
      </w:r>
      <w:r w:rsidR="00B71D0D" w:rsidRPr="00313778">
        <w:rPr>
          <w:rFonts w:ascii="Microsoft Sans Serif" w:hAnsi="Microsoft Sans Serif" w:cs="Microsoft Sans Serif"/>
        </w:rPr>
        <w:t xml:space="preserve">w </w:t>
      </w:r>
      <w:r w:rsidRPr="00313778">
        <w:rPr>
          <w:rFonts w:ascii="Microsoft Sans Serif" w:hAnsi="Microsoft Sans Serif" w:cs="Microsoft Sans Serif"/>
        </w:rPr>
        <w:t>Zasadach i Procedurach w elektronicznym Formularzu wniosku</w:t>
      </w:r>
      <w:r w:rsidR="00B71D0D" w:rsidRPr="00313778">
        <w:rPr>
          <w:rFonts w:ascii="Microsoft Sans Serif" w:hAnsi="Microsoft Sans Serif" w:cs="Microsoft Sans Serif"/>
        </w:rPr>
        <w:t xml:space="preserve">, a także </w:t>
      </w:r>
      <w:r w:rsidRPr="00313778">
        <w:rPr>
          <w:rFonts w:ascii="Microsoft Sans Serif" w:hAnsi="Microsoft Sans Serif" w:cs="Microsoft Sans Serif"/>
        </w:rPr>
        <w:t>w Wytycznych</w:t>
      </w:r>
      <w:r w:rsidR="00B71D0D" w:rsidRPr="00313778">
        <w:rPr>
          <w:rFonts w:ascii="Microsoft Sans Serif" w:hAnsi="Microsoft Sans Serif" w:cs="Microsoft Sans Serif"/>
        </w:rPr>
        <w:t xml:space="preserve">, </w:t>
      </w:r>
      <w:r w:rsidRPr="00313778">
        <w:rPr>
          <w:rFonts w:ascii="Microsoft Sans Serif" w:hAnsi="Microsoft Sans Serif" w:cs="Microsoft Sans Serif"/>
        </w:rPr>
        <w:t xml:space="preserve">i </w:t>
      </w:r>
      <w:r w:rsidR="00B71D0D" w:rsidRPr="00313778">
        <w:rPr>
          <w:rFonts w:ascii="Microsoft Sans Serif" w:hAnsi="Microsoft Sans Serif" w:cs="Microsoft Sans Serif"/>
        </w:rPr>
        <w:t>cała obowiązkowo wymagana dokumentacja została dołączona do wniosku;</w:t>
      </w:r>
    </w:p>
    <w:p w:rsidR="00B71D0D" w:rsidRPr="00313778" w:rsidRDefault="00B71D0D" w:rsidP="000C3F4E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Wniosek i wymagane dokumenty dodatkowe zostały złożone i prze</w:t>
      </w:r>
      <w:r w:rsidR="000C3F4E" w:rsidRPr="00313778">
        <w:rPr>
          <w:rFonts w:ascii="Microsoft Sans Serif" w:hAnsi="Microsoft Sans Serif" w:cs="Microsoft Sans Serif"/>
        </w:rPr>
        <w:t>d</w:t>
      </w:r>
      <w:r w:rsidRPr="00313778">
        <w:rPr>
          <w:rFonts w:ascii="Microsoft Sans Serif" w:hAnsi="Microsoft Sans Serif" w:cs="Microsoft Sans Serif"/>
        </w:rPr>
        <w:t xml:space="preserve">stawione w języku angielskim; </w:t>
      </w:r>
      <w:r w:rsidR="000C3F4E" w:rsidRPr="00313778">
        <w:rPr>
          <w:rFonts w:ascii="Microsoft Sans Serif" w:hAnsi="Microsoft Sans Serif" w:cs="Microsoft Sans Serif"/>
        </w:rPr>
        <w:t>nie dotyczy to</w:t>
      </w:r>
      <w:r w:rsidRPr="00313778">
        <w:rPr>
          <w:rFonts w:ascii="Microsoft Sans Serif" w:hAnsi="Microsoft Sans Serif" w:cs="Microsoft Sans Serif"/>
        </w:rPr>
        <w:t xml:space="preserve"> </w:t>
      </w:r>
      <w:r w:rsidR="000C3F4E" w:rsidRPr="00313778">
        <w:rPr>
          <w:rFonts w:ascii="Microsoft Sans Serif" w:hAnsi="Microsoft Sans Serif" w:cs="Microsoft Sans Serif"/>
        </w:rPr>
        <w:t xml:space="preserve">odpisów z rejestrów </w:t>
      </w:r>
      <w:r w:rsidRPr="00313778">
        <w:rPr>
          <w:rFonts w:ascii="Microsoft Sans Serif" w:hAnsi="Microsoft Sans Serif" w:cs="Microsoft Sans Serif"/>
        </w:rPr>
        <w:t xml:space="preserve">i poświadczonych </w:t>
      </w:r>
      <w:r w:rsidR="000C3F4E" w:rsidRPr="00313778">
        <w:rPr>
          <w:rFonts w:ascii="Microsoft Sans Serif" w:hAnsi="Microsoft Sans Serif" w:cs="Microsoft Sans Serif"/>
        </w:rPr>
        <w:t>sprawozdań finansowych</w:t>
      </w:r>
      <w:r w:rsidRPr="00313778">
        <w:rPr>
          <w:rFonts w:ascii="Microsoft Sans Serif" w:hAnsi="Microsoft Sans Serif" w:cs="Microsoft Sans Serif"/>
        </w:rPr>
        <w:t>, które mogą być złożone i przedstawione po polsku.</w:t>
      </w:r>
    </w:p>
    <w:p w:rsidR="00B71D0D" w:rsidRPr="00313778" w:rsidRDefault="00B71D0D" w:rsidP="000C3F4E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Użyto właściwego elektronicznego Formularza Wniosku.</w:t>
      </w:r>
    </w:p>
    <w:p w:rsidR="00B71D0D" w:rsidRPr="00313778" w:rsidRDefault="00B71D0D" w:rsidP="00B71D0D">
      <w:pPr>
        <w:rPr>
          <w:rFonts w:ascii="Microsoft Sans Serif" w:hAnsi="Microsoft Sans Serif" w:cs="Microsoft Sans Serif"/>
        </w:rPr>
      </w:pPr>
    </w:p>
    <w:p w:rsidR="000C3F4E" w:rsidRPr="00313778" w:rsidRDefault="000C3F4E" w:rsidP="00B71D0D">
      <w:pPr>
        <w:rPr>
          <w:rFonts w:ascii="Microsoft Sans Serif" w:hAnsi="Microsoft Sans Serif" w:cs="Microsoft Sans Serif"/>
        </w:rPr>
      </w:pPr>
    </w:p>
    <w:p w:rsidR="000C3F4E" w:rsidRPr="00313778" w:rsidRDefault="000C3F4E" w:rsidP="00B71D0D">
      <w:pPr>
        <w:rPr>
          <w:rFonts w:ascii="Microsoft Sans Serif" w:hAnsi="Microsoft Sans Serif" w:cs="Microsoft Sans Serif"/>
        </w:rPr>
      </w:pPr>
    </w:p>
    <w:p w:rsidR="000C3F4E" w:rsidRPr="00313778" w:rsidRDefault="000C3F4E" w:rsidP="00B71D0D">
      <w:pPr>
        <w:rPr>
          <w:rFonts w:ascii="Microsoft Sans Serif" w:hAnsi="Microsoft Sans Serif" w:cs="Microsoft Sans Serif"/>
        </w:rPr>
      </w:pPr>
    </w:p>
    <w:p w:rsidR="006B6937" w:rsidRPr="00313778" w:rsidRDefault="006B6937" w:rsidP="000C3F4E">
      <w:pPr>
        <w:spacing w:after="6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i/>
        </w:rPr>
        <w:t xml:space="preserve">2.  Kryteria kwalifikowalności </w:t>
      </w:r>
    </w:p>
    <w:p w:rsidR="00494F76" w:rsidRPr="00313778" w:rsidRDefault="006B6937" w:rsidP="000C3F4E">
      <w:pPr>
        <w:pStyle w:val="Akapitzlist"/>
        <w:numPr>
          <w:ilvl w:val="0"/>
          <w:numId w:val="9"/>
        </w:numPr>
        <w:spacing w:after="60"/>
        <w:ind w:hanging="426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Wnioskodawca </w:t>
      </w:r>
    </w:p>
    <w:p w:rsidR="006B6937" w:rsidRPr="00313778" w:rsidRDefault="006B6937" w:rsidP="000C3F4E">
      <w:pPr>
        <w:pStyle w:val="Akapitzlist"/>
        <w:numPr>
          <w:ilvl w:val="1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Wnioskodawca jest zarejestrowany jako podmiot prawny w Polsce (albo w KRS albo w CEIDG)</w:t>
      </w:r>
    </w:p>
    <w:p w:rsidR="006B6937" w:rsidRPr="00313778" w:rsidRDefault="006B6937" w:rsidP="000C3F4E">
      <w:pPr>
        <w:pStyle w:val="Akapitzlist"/>
        <w:numPr>
          <w:ilvl w:val="1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 przypadku projektu partnerskiego z podmiotem z kraju darczyńcy, wszyscy partnerzy projektu muszą podpisać projekt Umowy o partnerstwie określającej różne role i zakres odpowiedzialności partnerów.  </w:t>
      </w:r>
      <w:r w:rsidR="00002E22" w:rsidRPr="00313778">
        <w:rPr>
          <w:rFonts w:ascii="Microsoft Sans Serif" w:hAnsi="Microsoft Sans Serif" w:cs="Microsoft Sans Serif"/>
        </w:rPr>
        <w:t>Umowę tę</w:t>
      </w:r>
      <w:r w:rsidRPr="00313778">
        <w:rPr>
          <w:rFonts w:ascii="Microsoft Sans Serif" w:hAnsi="Microsoft Sans Serif" w:cs="Microsoft Sans Serif"/>
        </w:rPr>
        <w:t xml:space="preserve"> należy dołączyć do wniosku. </w:t>
      </w:r>
    </w:p>
    <w:p w:rsidR="006B6937" w:rsidRPr="00313778" w:rsidRDefault="006B6937" w:rsidP="000C3F4E">
      <w:pPr>
        <w:pStyle w:val="Akapitzlist"/>
        <w:numPr>
          <w:ilvl w:val="1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Wnioskodawca (oraz partner/partnerzy, jeśli dotyczy) prowadzi działalność przez okres przynajmniej jednego roku podatkowego, a jego/ich główne pola działalności są ściśle związane z działaniami</w:t>
      </w:r>
      <w:r w:rsidR="007518E3" w:rsidRPr="00313778">
        <w:rPr>
          <w:rFonts w:ascii="Microsoft Sans Serif" w:hAnsi="Microsoft Sans Serif" w:cs="Microsoft Sans Serif"/>
        </w:rPr>
        <w:t>,</w:t>
      </w:r>
      <w:r w:rsidRPr="00313778">
        <w:rPr>
          <w:rFonts w:ascii="Microsoft Sans Serif" w:hAnsi="Microsoft Sans Serif" w:cs="Microsoft Sans Serif"/>
        </w:rPr>
        <w:t xml:space="preserve"> </w:t>
      </w:r>
      <w:r w:rsidR="007518E3" w:rsidRPr="00313778">
        <w:rPr>
          <w:rFonts w:ascii="Microsoft Sans Serif" w:hAnsi="Microsoft Sans Serif" w:cs="Microsoft Sans Serif"/>
        </w:rPr>
        <w:t>których dotyczy składany wniosek</w:t>
      </w:r>
      <w:r w:rsidRPr="00313778">
        <w:rPr>
          <w:rFonts w:ascii="Microsoft Sans Serif" w:hAnsi="Microsoft Sans Serif" w:cs="Microsoft Sans Serif"/>
        </w:rPr>
        <w:t>;</w:t>
      </w:r>
    </w:p>
    <w:p w:rsidR="007518E3" w:rsidRPr="00313778" w:rsidRDefault="006B6937" w:rsidP="000C3F4E">
      <w:pPr>
        <w:pStyle w:val="Akapitzlist"/>
        <w:numPr>
          <w:ilvl w:val="1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Wnioskodawca (oraz partner/partnerzy, je</w:t>
      </w:r>
      <w:r w:rsidR="007518E3" w:rsidRPr="00313778">
        <w:rPr>
          <w:rFonts w:ascii="Microsoft Sans Serif" w:hAnsi="Microsoft Sans Serif" w:cs="Microsoft Sans Serif"/>
        </w:rPr>
        <w:t>śli dotyczy), a także przedstawiciel prawny podpisujący wniosek są osobami niekaranymi i nie mają zaległości podatkowych;</w:t>
      </w:r>
    </w:p>
    <w:p w:rsidR="007518E3" w:rsidRPr="00313778" w:rsidRDefault="007518E3" w:rsidP="000C3F4E">
      <w:pPr>
        <w:pStyle w:val="Akapitzlist"/>
        <w:numPr>
          <w:ilvl w:val="1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Wnioskodawca ma dodatni kapitał obrotowy i kapitał </w:t>
      </w:r>
      <w:r w:rsidR="00C90EAA" w:rsidRPr="00313778">
        <w:rPr>
          <w:rFonts w:ascii="Microsoft Sans Serif" w:hAnsi="Microsoft Sans Serif" w:cs="Microsoft Sans Serif"/>
        </w:rPr>
        <w:t>własny</w:t>
      </w:r>
      <w:r w:rsidRPr="00313778">
        <w:rPr>
          <w:rFonts w:ascii="Microsoft Sans Serif" w:hAnsi="Microsoft Sans Serif" w:cs="Microsoft Sans Serif"/>
        </w:rPr>
        <w:t>.</w:t>
      </w:r>
    </w:p>
    <w:p w:rsidR="006B6937" w:rsidRPr="00313778" w:rsidRDefault="006B6937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</w:p>
    <w:p w:rsidR="006B6937" w:rsidRPr="00313778" w:rsidRDefault="00CF38D4" w:rsidP="000C3F4E">
      <w:pPr>
        <w:pStyle w:val="Akapitzlist"/>
        <w:numPr>
          <w:ilvl w:val="0"/>
          <w:numId w:val="9"/>
        </w:num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Projekt </w:t>
      </w:r>
    </w:p>
    <w:p w:rsidR="00CF38D4" w:rsidRPr="00313778" w:rsidRDefault="00CF38D4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i.</w:t>
      </w:r>
      <w:r w:rsidRPr="00313778">
        <w:rPr>
          <w:rFonts w:ascii="Microsoft Sans Serif" w:hAnsi="Microsoft Sans Serif" w:cs="Microsoft Sans Serif"/>
        </w:rPr>
        <w:tab/>
        <w:t xml:space="preserve">Proponowany projekt jest związany z określonym rezultatem Programu i zawiera kwalifikujące się działania określone w Ogłoszeniu o naborze wniosków; </w:t>
      </w:r>
    </w:p>
    <w:p w:rsidR="00CF38D4" w:rsidRPr="00313778" w:rsidRDefault="00CF38D4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ii.</w:t>
      </w:r>
      <w:r w:rsidRPr="00313778">
        <w:rPr>
          <w:rFonts w:ascii="Microsoft Sans Serif" w:hAnsi="Microsoft Sans Serif" w:cs="Microsoft Sans Serif"/>
        </w:rPr>
        <w:tab/>
      </w:r>
      <w:r w:rsidR="0093624D" w:rsidRPr="00313778">
        <w:rPr>
          <w:rFonts w:ascii="Microsoft Sans Serif" w:hAnsi="Microsoft Sans Serif" w:cs="Microsoft Sans Serif"/>
        </w:rPr>
        <w:t>Wniosek spełnia warunek m</w:t>
      </w:r>
      <w:r w:rsidRPr="00313778">
        <w:rPr>
          <w:rFonts w:ascii="Microsoft Sans Serif" w:hAnsi="Microsoft Sans Serif" w:cs="Microsoft Sans Serif"/>
        </w:rPr>
        <w:t>inimalne</w:t>
      </w:r>
      <w:r w:rsidR="0093624D" w:rsidRPr="00313778">
        <w:rPr>
          <w:rFonts w:ascii="Microsoft Sans Serif" w:hAnsi="Microsoft Sans Serif" w:cs="Microsoft Sans Serif"/>
        </w:rPr>
        <w:t>j</w:t>
      </w:r>
      <w:r w:rsidRPr="00313778">
        <w:rPr>
          <w:rFonts w:ascii="Microsoft Sans Serif" w:hAnsi="Microsoft Sans Serif" w:cs="Microsoft Sans Serif"/>
        </w:rPr>
        <w:t xml:space="preserve"> i maksymalne</w:t>
      </w:r>
      <w:r w:rsidR="0093624D" w:rsidRPr="00313778">
        <w:rPr>
          <w:rFonts w:ascii="Microsoft Sans Serif" w:hAnsi="Microsoft Sans Serif" w:cs="Microsoft Sans Serif"/>
        </w:rPr>
        <w:t>j</w:t>
      </w:r>
      <w:r w:rsidRPr="00313778">
        <w:rPr>
          <w:rFonts w:ascii="Microsoft Sans Serif" w:hAnsi="Microsoft Sans Serif" w:cs="Microsoft Sans Serif"/>
        </w:rPr>
        <w:t xml:space="preserve"> kwoty grantów</w:t>
      </w:r>
      <w:r w:rsidR="0093624D" w:rsidRPr="00313778">
        <w:rPr>
          <w:rFonts w:ascii="Microsoft Sans Serif" w:hAnsi="Microsoft Sans Serif" w:cs="Microsoft Sans Serif"/>
        </w:rPr>
        <w:t xml:space="preserve">, a także </w:t>
      </w:r>
      <w:r w:rsidR="000C3F4E" w:rsidRPr="00313778">
        <w:rPr>
          <w:rFonts w:ascii="Microsoft Sans Serif" w:hAnsi="Microsoft Sans Serif" w:cs="Microsoft Sans Serif"/>
        </w:rPr>
        <w:t>poziomu</w:t>
      </w:r>
      <w:r w:rsidR="0093624D" w:rsidRPr="00313778">
        <w:rPr>
          <w:rFonts w:ascii="Microsoft Sans Serif" w:hAnsi="Microsoft Sans Serif" w:cs="Microsoft Sans Serif"/>
        </w:rPr>
        <w:t xml:space="preserve"> </w:t>
      </w:r>
      <w:r w:rsidR="000C3F4E" w:rsidRPr="00313778">
        <w:rPr>
          <w:rFonts w:ascii="Microsoft Sans Serif" w:hAnsi="Microsoft Sans Serif" w:cs="Microsoft Sans Serif"/>
        </w:rPr>
        <w:t>do</w:t>
      </w:r>
      <w:r w:rsidR="0093624D" w:rsidRPr="00313778">
        <w:rPr>
          <w:rFonts w:ascii="Microsoft Sans Serif" w:hAnsi="Microsoft Sans Serif" w:cs="Microsoft Sans Serif"/>
        </w:rPr>
        <w:t xml:space="preserve">finansowania, a okres wdrażania projektu nie wykracza poza termin kwalifikowalności kosztów; </w:t>
      </w:r>
    </w:p>
    <w:p w:rsidR="0093624D" w:rsidRPr="00313778" w:rsidRDefault="0093624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iii.</w:t>
      </w:r>
      <w:r w:rsidRPr="00313778">
        <w:rPr>
          <w:rFonts w:ascii="Microsoft Sans Serif" w:hAnsi="Microsoft Sans Serif" w:cs="Microsoft Sans Serif"/>
        </w:rPr>
        <w:tab/>
      </w:r>
      <w:r w:rsidR="00002E22">
        <w:rPr>
          <w:rFonts w:ascii="Microsoft Sans Serif" w:hAnsi="Microsoft Sans Serif" w:cs="Microsoft Sans Serif"/>
        </w:rPr>
        <w:t>W</w:t>
      </w:r>
      <w:r w:rsidRPr="00313778">
        <w:rPr>
          <w:rFonts w:ascii="Microsoft Sans Serif" w:hAnsi="Microsoft Sans Serif" w:cs="Microsoft Sans Serif"/>
        </w:rPr>
        <w:t>niosek nie powoduje dublowania/</w:t>
      </w:r>
      <w:r w:rsidR="00C90EAA" w:rsidRPr="00313778">
        <w:rPr>
          <w:rFonts w:ascii="Microsoft Sans Serif" w:hAnsi="Microsoft Sans Serif" w:cs="Microsoft Sans Serif"/>
        </w:rPr>
        <w:t>podwójnego finansowania</w:t>
      </w:r>
      <w:r w:rsidRPr="00313778">
        <w:rPr>
          <w:rFonts w:ascii="Microsoft Sans Serif" w:hAnsi="Microsoft Sans Serif" w:cs="Microsoft Sans Serif"/>
        </w:rPr>
        <w:t xml:space="preserve"> dla podobnego projektu z UE/EOG/Międzynarodowej Instytucji Finansowej/źródeł bilateralnych lub innych; </w:t>
      </w:r>
    </w:p>
    <w:p w:rsidR="0093624D" w:rsidRPr="00313778" w:rsidRDefault="0093624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iv.</w:t>
      </w:r>
      <w:r w:rsidRPr="00313778">
        <w:rPr>
          <w:rFonts w:ascii="Microsoft Sans Serif" w:hAnsi="Microsoft Sans Serif" w:cs="Microsoft Sans Serif"/>
        </w:rPr>
        <w:tab/>
      </w:r>
      <w:r w:rsidR="00002E22">
        <w:rPr>
          <w:rFonts w:ascii="Microsoft Sans Serif" w:hAnsi="Microsoft Sans Serif" w:cs="Microsoft Sans Serif"/>
        </w:rPr>
        <w:t>P</w:t>
      </w:r>
      <w:r w:rsidRPr="00313778">
        <w:rPr>
          <w:rFonts w:ascii="Microsoft Sans Serif" w:hAnsi="Microsoft Sans Serif" w:cs="Microsoft Sans Serif"/>
        </w:rPr>
        <w:t>rojekt jest zgodny z przepisami prawa unijnego i krajowego w Polsce (w szczególności z wymogami prawa o zamówieniach publicznych, pomocy publicznej i ochrony środowiska).</w:t>
      </w:r>
    </w:p>
    <w:p w:rsidR="00CF38D4" w:rsidRPr="00313778" w:rsidRDefault="00CF38D4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 </w:t>
      </w:r>
    </w:p>
    <w:p w:rsidR="00CF38D4" w:rsidRPr="00313778" w:rsidRDefault="0093624D" w:rsidP="000C3F4E">
      <w:pPr>
        <w:spacing w:after="60"/>
        <w:ind w:left="993" w:hanging="567"/>
        <w:rPr>
          <w:rFonts w:ascii="Microsoft Sans Serif" w:hAnsi="Microsoft Sans Serif" w:cs="Microsoft Sans Serif"/>
          <w:i/>
        </w:rPr>
      </w:pPr>
      <w:r w:rsidRPr="00313778">
        <w:rPr>
          <w:rFonts w:ascii="Microsoft Sans Serif" w:hAnsi="Microsoft Sans Serif" w:cs="Microsoft Sans Serif"/>
          <w:i/>
        </w:rPr>
        <w:t xml:space="preserve">3.     Kryteria oceny technicznej i finansowej </w:t>
      </w:r>
    </w:p>
    <w:p w:rsidR="005C767F" w:rsidRPr="00313778" w:rsidRDefault="0093624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i.     </w:t>
      </w:r>
      <w:r w:rsidR="00002E22">
        <w:rPr>
          <w:rFonts w:ascii="Microsoft Sans Serif" w:hAnsi="Microsoft Sans Serif" w:cs="Microsoft Sans Serif"/>
        </w:rPr>
        <w:t xml:space="preserve"> </w:t>
      </w:r>
      <w:r w:rsidR="00002E22">
        <w:rPr>
          <w:rFonts w:ascii="Microsoft Sans Serif" w:hAnsi="Microsoft Sans Serif" w:cs="Microsoft Sans Serif"/>
        </w:rPr>
        <w:tab/>
      </w:r>
      <w:r w:rsidRPr="00313778">
        <w:rPr>
          <w:rFonts w:ascii="Microsoft Sans Serif" w:hAnsi="Microsoft Sans Serif" w:cs="Microsoft Sans Serif"/>
        </w:rPr>
        <w:t>Podmiot/podmioty mają niezbędny personel oraz możliwości techniczne i finansowe (włączając udokumentowany wymagan</w:t>
      </w:r>
      <w:r w:rsidR="005C767F" w:rsidRPr="00313778">
        <w:rPr>
          <w:rFonts w:ascii="Microsoft Sans Serif" w:hAnsi="Microsoft Sans Serif" w:cs="Microsoft Sans Serif"/>
        </w:rPr>
        <w:t>y kapitał obrotowy oraz solidną sytuację w zakresie stanu kapitałów własnych) do realizacji projektu i współfinansowania jego kosztów;</w:t>
      </w:r>
    </w:p>
    <w:p w:rsidR="00CF38D4" w:rsidRPr="00313778" w:rsidRDefault="005C767F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ii.</w:t>
      </w:r>
      <w:r w:rsidRPr="00313778">
        <w:rPr>
          <w:rFonts w:ascii="Microsoft Sans Serif" w:hAnsi="Microsoft Sans Serif" w:cs="Microsoft Sans Serif"/>
        </w:rPr>
        <w:tab/>
        <w:t xml:space="preserve">Projekt jest gotowy tzn. jest wykonalny z technicznego punktu widzenia i możliwy do realizacji w zakresie harmonogramu czasowego, budżetu i </w:t>
      </w:r>
      <w:r w:rsidR="000C12A4" w:rsidRPr="00313778">
        <w:rPr>
          <w:rFonts w:ascii="Microsoft Sans Serif" w:hAnsi="Microsoft Sans Serif" w:cs="Microsoft Sans Serif"/>
        </w:rPr>
        <w:t xml:space="preserve">stosunku </w:t>
      </w:r>
      <w:r w:rsidRPr="00313778">
        <w:rPr>
          <w:rFonts w:ascii="Microsoft Sans Serif" w:hAnsi="Microsoft Sans Serif" w:cs="Microsoft Sans Serif"/>
        </w:rPr>
        <w:t xml:space="preserve">wartości </w:t>
      </w:r>
      <w:r w:rsidR="000C12A4" w:rsidRPr="00313778">
        <w:rPr>
          <w:rFonts w:ascii="Microsoft Sans Serif" w:hAnsi="Microsoft Sans Serif" w:cs="Microsoft Sans Serif"/>
        </w:rPr>
        <w:t>kosztów</w:t>
      </w:r>
      <w:r w:rsidRPr="00313778">
        <w:rPr>
          <w:rFonts w:ascii="Microsoft Sans Serif" w:hAnsi="Microsoft Sans Serif" w:cs="Microsoft Sans Serif"/>
        </w:rPr>
        <w:t xml:space="preserve">; </w:t>
      </w:r>
    </w:p>
    <w:p w:rsidR="000C12A4" w:rsidRPr="00313778" w:rsidRDefault="000C12A4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iii.</w:t>
      </w:r>
      <w:r w:rsidRPr="00313778">
        <w:rPr>
          <w:rFonts w:ascii="Microsoft Sans Serif" w:hAnsi="Microsoft Sans Serif" w:cs="Microsoft Sans Serif"/>
        </w:rPr>
        <w:tab/>
        <w:t>jeśli dotyczy, jakość</w:t>
      </w:r>
      <w:r w:rsidR="000C3F4E" w:rsidRPr="00313778">
        <w:rPr>
          <w:rFonts w:ascii="Microsoft Sans Serif" w:hAnsi="Microsoft Sans Serif" w:cs="Microsoft Sans Serif"/>
        </w:rPr>
        <w:t>/zakres merytoryczny</w:t>
      </w:r>
      <w:r w:rsidRPr="00313778">
        <w:rPr>
          <w:rFonts w:ascii="Microsoft Sans Serif" w:hAnsi="Microsoft Sans Serif" w:cs="Microsoft Sans Serif"/>
        </w:rPr>
        <w:t xml:space="preserve"> umowy partnerskiej, podział zadań i zakresu odpowiedzialności pomiędzy partnerami zostały ustalone i opisane, a każdy partner ma znaczący wkład w działania projektu; </w:t>
      </w:r>
    </w:p>
    <w:p w:rsidR="00F81115" w:rsidRPr="00313778" w:rsidRDefault="00F81115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iv.</w:t>
      </w:r>
      <w:r w:rsidRPr="00313778">
        <w:rPr>
          <w:rFonts w:ascii="Microsoft Sans Serif" w:hAnsi="Microsoft Sans Serif" w:cs="Microsoft Sans Serif"/>
        </w:rPr>
        <w:tab/>
      </w:r>
      <w:r w:rsidR="00454AC2" w:rsidRPr="00313778">
        <w:rPr>
          <w:rFonts w:ascii="Microsoft Sans Serif" w:hAnsi="Microsoft Sans Serif" w:cs="Microsoft Sans Serif"/>
        </w:rPr>
        <w:t xml:space="preserve">Projekt jest w odpowiedni sposób wsparty planem ograniczania ryzyka; </w:t>
      </w:r>
    </w:p>
    <w:p w:rsidR="00454AC2" w:rsidRPr="00313778" w:rsidRDefault="00454AC2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v.</w:t>
      </w:r>
      <w:r w:rsidRPr="00313778">
        <w:rPr>
          <w:rFonts w:ascii="Microsoft Sans Serif" w:hAnsi="Microsoft Sans Serif" w:cs="Microsoft Sans Serif"/>
        </w:rPr>
        <w:tab/>
        <w:t>Jakość planowanych działań mających na celu propagowanie projektu i rozpowszechnianie jego wyników i oddziaływania (Plan Promocji Pro</w:t>
      </w:r>
      <w:r w:rsidR="00CC44D7" w:rsidRPr="00313778">
        <w:rPr>
          <w:rFonts w:ascii="Microsoft Sans Serif" w:hAnsi="Microsoft Sans Serif" w:cs="Microsoft Sans Serif"/>
        </w:rPr>
        <w:t>je</w:t>
      </w:r>
      <w:r w:rsidRPr="00313778">
        <w:rPr>
          <w:rFonts w:ascii="Microsoft Sans Serif" w:hAnsi="Microsoft Sans Serif" w:cs="Microsoft Sans Serif"/>
        </w:rPr>
        <w:t>ktu);</w:t>
      </w:r>
    </w:p>
    <w:p w:rsidR="00454AC2" w:rsidRPr="00313778" w:rsidRDefault="00454AC2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vi.</w:t>
      </w:r>
      <w:r w:rsidRPr="00313778">
        <w:rPr>
          <w:rFonts w:ascii="Microsoft Sans Serif" w:hAnsi="Microsoft Sans Serif" w:cs="Microsoft Sans Serif"/>
        </w:rPr>
        <w:tab/>
        <w:t xml:space="preserve">Promotor Projektu oraz Partnerzy przestrzegają zasady Społecznej Odpowiedzialności Biznesu (inicjatywy na poziomie </w:t>
      </w:r>
      <w:r w:rsidR="00BA1217" w:rsidRPr="00313778">
        <w:rPr>
          <w:rFonts w:ascii="Microsoft Sans Serif" w:hAnsi="Microsoft Sans Serif" w:cs="Microsoft Sans Serif"/>
        </w:rPr>
        <w:t>przedsiębiorstwa</w:t>
      </w:r>
      <w:r w:rsidRPr="00313778">
        <w:rPr>
          <w:rFonts w:ascii="Microsoft Sans Serif" w:hAnsi="Microsoft Sans Serif" w:cs="Microsoft Sans Serif"/>
        </w:rPr>
        <w:t>);</w:t>
      </w:r>
    </w:p>
    <w:p w:rsidR="00447F0C" w:rsidRPr="00313778" w:rsidRDefault="00454AC2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vii.</w:t>
      </w:r>
      <w:r w:rsidRPr="00313778">
        <w:rPr>
          <w:rFonts w:ascii="Microsoft Sans Serif" w:hAnsi="Microsoft Sans Serif" w:cs="Microsoft Sans Serif"/>
        </w:rPr>
        <w:tab/>
      </w:r>
      <w:r w:rsidR="00753FA8" w:rsidRPr="00313778">
        <w:rPr>
          <w:rFonts w:ascii="Microsoft Sans Serif" w:hAnsi="Microsoft Sans Serif" w:cs="Microsoft Sans Serif"/>
        </w:rPr>
        <w:t xml:space="preserve">Projekt realizuje ustalony oczekiwany rezultat Programu oraz kwalifikujące się działania określone </w:t>
      </w:r>
      <w:r w:rsidR="00447F0C" w:rsidRPr="00313778">
        <w:rPr>
          <w:rFonts w:ascii="Microsoft Sans Serif" w:hAnsi="Microsoft Sans Serif" w:cs="Microsoft Sans Serif"/>
        </w:rPr>
        <w:t>w Ogłoszeniu o naborze wniosków; wykazuje również wysoki stopień poprawienia działań proekologicznych przedsiębiorstw i/lub oddziaływania środowiskowego podczas realizacji projektu/po zakończeniu projektu</w:t>
      </w:r>
    </w:p>
    <w:p w:rsidR="00447F0C" w:rsidRPr="00313778" w:rsidRDefault="00447F0C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viii.</w:t>
      </w:r>
      <w:r w:rsidRPr="00313778">
        <w:rPr>
          <w:rFonts w:ascii="Microsoft Sans Serif" w:hAnsi="Microsoft Sans Serif" w:cs="Microsoft Sans Serif"/>
        </w:rPr>
        <w:tab/>
        <w:t xml:space="preserve">Projekt jest zgodny z zasadami stosownych zagadnień przekrojowych </w:t>
      </w:r>
      <w:r w:rsidR="000C3F4E" w:rsidRPr="00313778">
        <w:rPr>
          <w:rFonts w:ascii="Microsoft Sans Serif" w:hAnsi="Microsoft Sans Serif" w:cs="Microsoft Sans Serif"/>
        </w:rPr>
        <w:t xml:space="preserve">określonych </w:t>
      </w:r>
      <w:r w:rsidRPr="00313778">
        <w:rPr>
          <w:rFonts w:ascii="Microsoft Sans Serif" w:hAnsi="Microsoft Sans Serif" w:cs="Microsoft Sans Serif"/>
        </w:rPr>
        <w:t>w Formularzu wniosku (na poziomie projektu);</w:t>
      </w:r>
    </w:p>
    <w:p w:rsidR="00447F0C" w:rsidRPr="00313778" w:rsidRDefault="00447F0C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ix.</w:t>
      </w:r>
      <w:r w:rsidRPr="00313778">
        <w:rPr>
          <w:rFonts w:ascii="Microsoft Sans Serif" w:hAnsi="Microsoft Sans Serif" w:cs="Microsoft Sans Serif"/>
        </w:rPr>
        <w:tab/>
        <w:t xml:space="preserve">Przyznany grant </w:t>
      </w:r>
      <w:r w:rsidR="00BA1217" w:rsidRPr="00313778">
        <w:rPr>
          <w:rFonts w:ascii="Microsoft Sans Serif" w:hAnsi="Microsoft Sans Serif" w:cs="Microsoft Sans Serif"/>
        </w:rPr>
        <w:t>powoduje tzw.</w:t>
      </w:r>
      <w:r w:rsidR="000C3F4E" w:rsidRPr="00313778">
        <w:rPr>
          <w:rFonts w:ascii="Microsoft Sans Serif" w:hAnsi="Microsoft Sans Serif" w:cs="Microsoft Sans Serif"/>
        </w:rPr>
        <w:t xml:space="preserve"> efekt uwolnienia</w:t>
      </w:r>
      <w:r w:rsidR="00BE6A32" w:rsidRPr="00313778">
        <w:rPr>
          <w:rFonts w:ascii="Microsoft Sans Serif" w:hAnsi="Microsoft Sans Serif" w:cs="Microsoft Sans Serif"/>
        </w:rPr>
        <w:t xml:space="preserve"> </w:t>
      </w:r>
      <w:r w:rsidR="000772C0" w:rsidRPr="00313778">
        <w:rPr>
          <w:rFonts w:ascii="Microsoft Sans Serif" w:hAnsi="Microsoft Sans Serif" w:cs="Microsoft Sans Serif"/>
        </w:rPr>
        <w:t>(tzw. releasing effect)</w:t>
      </w:r>
      <w:r w:rsidRPr="00313778">
        <w:rPr>
          <w:rFonts w:ascii="Microsoft Sans Serif" w:hAnsi="Microsoft Sans Serif" w:cs="Microsoft Sans Serif"/>
        </w:rPr>
        <w:t>;</w:t>
      </w:r>
    </w:p>
    <w:p w:rsidR="00454AC2" w:rsidRPr="00313778" w:rsidRDefault="00525704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x.</w:t>
      </w:r>
      <w:r w:rsidRPr="00313778">
        <w:rPr>
          <w:rFonts w:ascii="Microsoft Sans Serif" w:hAnsi="Microsoft Sans Serif" w:cs="Microsoft Sans Serif"/>
        </w:rPr>
        <w:tab/>
      </w:r>
      <w:r w:rsidR="005B1CAD" w:rsidRPr="00313778">
        <w:rPr>
          <w:rFonts w:ascii="Microsoft Sans Serif" w:hAnsi="Microsoft Sans Serif" w:cs="Microsoft Sans Serif"/>
        </w:rPr>
        <w:t xml:space="preserve">Projekt jest zgodny z polskimi krajowymi, regionalnymi lub lokalnymi planami lub strategiami; </w:t>
      </w:r>
      <w:r w:rsidR="00447F0C" w:rsidRPr="00313778">
        <w:rPr>
          <w:rFonts w:ascii="Microsoft Sans Serif" w:hAnsi="Microsoft Sans Serif" w:cs="Microsoft Sans Serif"/>
        </w:rPr>
        <w:t xml:space="preserve">   </w:t>
      </w:r>
      <w:r w:rsidR="00753FA8" w:rsidRPr="00313778">
        <w:rPr>
          <w:rFonts w:ascii="Microsoft Sans Serif" w:hAnsi="Microsoft Sans Serif" w:cs="Microsoft Sans Serif"/>
        </w:rPr>
        <w:t xml:space="preserve"> </w:t>
      </w:r>
      <w:r w:rsidR="00454AC2" w:rsidRPr="00313778">
        <w:rPr>
          <w:rFonts w:ascii="Microsoft Sans Serif" w:hAnsi="Microsoft Sans Serif" w:cs="Microsoft Sans Serif"/>
        </w:rPr>
        <w:t xml:space="preserve"> 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xi.</w:t>
      </w:r>
      <w:r w:rsidRPr="00313778">
        <w:rPr>
          <w:rFonts w:ascii="Microsoft Sans Serif" w:hAnsi="Microsoft Sans Serif" w:cs="Microsoft Sans Serif"/>
        </w:rPr>
        <w:tab/>
        <w:t xml:space="preserve">Projekt </w:t>
      </w:r>
      <w:r w:rsidR="000C3F4E" w:rsidRPr="00313778">
        <w:rPr>
          <w:rFonts w:ascii="Microsoft Sans Serif" w:hAnsi="Microsoft Sans Serif" w:cs="Microsoft Sans Serif"/>
        </w:rPr>
        <w:t>generuje</w:t>
      </w:r>
      <w:r w:rsidRPr="00313778">
        <w:rPr>
          <w:rFonts w:ascii="Microsoft Sans Serif" w:hAnsi="Microsoft Sans Serif" w:cs="Microsoft Sans Serif"/>
        </w:rPr>
        <w:t xml:space="preserve"> wartość dodaną tzn.  zyskowność społeczno-ekonomiczną; 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xii.</w:t>
      </w:r>
      <w:r w:rsidRPr="00313778">
        <w:rPr>
          <w:rFonts w:ascii="Microsoft Sans Serif" w:hAnsi="Microsoft Sans Serif" w:cs="Microsoft Sans Serif"/>
        </w:rPr>
        <w:tab/>
        <w:t xml:space="preserve">Projekt zawiera wyraźne działania gwarantujące jego trwałość, tzn. </w:t>
      </w:r>
      <w:r w:rsidR="00BA1217" w:rsidRPr="00313778">
        <w:rPr>
          <w:rFonts w:ascii="Microsoft Sans Serif" w:hAnsi="Microsoft Sans Serif" w:cs="Microsoft Sans Serif"/>
        </w:rPr>
        <w:t xml:space="preserve">trwałość </w:t>
      </w:r>
      <w:r w:rsidRPr="00313778">
        <w:rPr>
          <w:rFonts w:ascii="Microsoft Sans Serif" w:hAnsi="Microsoft Sans Serif" w:cs="Microsoft Sans Serif"/>
        </w:rPr>
        <w:t>projektu po terminie realizacji;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xiii.</w:t>
      </w:r>
      <w:r w:rsidRPr="00313778">
        <w:rPr>
          <w:rFonts w:ascii="Microsoft Sans Serif" w:hAnsi="Microsoft Sans Serif" w:cs="Microsoft Sans Serif"/>
        </w:rPr>
        <w:tab/>
        <w:t>Projekt przyczynia się do ogólnych celów Funduszy Norweskich 2009 – 2014 (zmniejsz</w:t>
      </w:r>
      <w:r w:rsidR="000C3F4E" w:rsidRPr="00313778">
        <w:rPr>
          <w:rFonts w:ascii="Microsoft Sans Serif" w:hAnsi="Microsoft Sans Serif" w:cs="Microsoft Sans Serif"/>
        </w:rPr>
        <w:t>a</w:t>
      </w:r>
      <w:r w:rsidRPr="00313778">
        <w:rPr>
          <w:rFonts w:ascii="Microsoft Sans Serif" w:hAnsi="Microsoft Sans Serif" w:cs="Microsoft Sans Serif"/>
        </w:rPr>
        <w:t>nie różnic społeczno-ekonomicznych w Europejskim Obszarze Gospodarczym oraz wzmocnienie stosunków bilateralnych pomiędzy Polską i Norwegią).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xiv.</w:t>
      </w:r>
      <w:r w:rsidRPr="00313778">
        <w:rPr>
          <w:rFonts w:ascii="Microsoft Sans Serif" w:hAnsi="Microsoft Sans Serif" w:cs="Microsoft Sans Serif"/>
        </w:rPr>
        <w:tab/>
        <w:t>Zyskowność projektu;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xv.</w:t>
      </w:r>
      <w:r w:rsidRPr="00313778">
        <w:rPr>
          <w:rFonts w:ascii="Microsoft Sans Serif" w:hAnsi="Microsoft Sans Serif" w:cs="Microsoft Sans Serif"/>
        </w:rPr>
        <w:tab/>
        <w:t>Ocena sprawozdań finansowych/poświadczonych dokumentów księgowych;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xvi.</w:t>
      </w:r>
      <w:r w:rsidRPr="00313778">
        <w:rPr>
          <w:rFonts w:ascii="Microsoft Sans Serif" w:hAnsi="Microsoft Sans Serif" w:cs="Microsoft Sans Serif"/>
        </w:rPr>
        <w:tab/>
        <w:t>Ocena ryzyka operacyjnego;</w:t>
      </w:r>
    </w:p>
    <w:p w:rsidR="005B1CAD" w:rsidRPr="00313778" w:rsidRDefault="005B1CAD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xvii.</w:t>
      </w:r>
      <w:r w:rsidRPr="00313778">
        <w:rPr>
          <w:rFonts w:ascii="Microsoft Sans Serif" w:hAnsi="Microsoft Sans Serif" w:cs="Microsoft Sans Serif"/>
        </w:rPr>
        <w:tab/>
        <w:t xml:space="preserve">Ocena zdolności kredytowej; </w:t>
      </w:r>
    </w:p>
    <w:p w:rsidR="005B1CAD" w:rsidRPr="00313778" w:rsidRDefault="00737C26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xviii.</w:t>
      </w:r>
      <w:r w:rsidRPr="00313778">
        <w:rPr>
          <w:rFonts w:ascii="Microsoft Sans Serif" w:hAnsi="Microsoft Sans Serif" w:cs="Microsoft Sans Serif"/>
        </w:rPr>
        <w:tab/>
        <w:t>Dokument projektowy; Biznesplan;</w:t>
      </w:r>
    </w:p>
    <w:p w:rsidR="00737C26" w:rsidRPr="00313778" w:rsidRDefault="00737C26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xix.</w:t>
      </w:r>
      <w:r w:rsidRPr="00313778">
        <w:rPr>
          <w:rFonts w:ascii="Microsoft Sans Serif" w:hAnsi="Microsoft Sans Serif" w:cs="Microsoft Sans Serif"/>
        </w:rPr>
        <w:tab/>
        <w:t>Poziom innowacyjności;</w:t>
      </w:r>
    </w:p>
    <w:p w:rsidR="00737C26" w:rsidRPr="00313778" w:rsidRDefault="00737C26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xx.</w:t>
      </w:r>
      <w:r w:rsidRPr="00313778">
        <w:rPr>
          <w:rFonts w:ascii="Microsoft Sans Serif" w:hAnsi="Microsoft Sans Serif" w:cs="Microsoft Sans Serif"/>
        </w:rPr>
        <w:tab/>
        <w:t>Status praw własności intelektualnej;</w:t>
      </w:r>
    </w:p>
    <w:p w:rsidR="00737C26" w:rsidRPr="00313778" w:rsidRDefault="00737C26" w:rsidP="000C3F4E">
      <w:pPr>
        <w:spacing w:after="60"/>
        <w:ind w:left="993" w:hanging="567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xxi.</w:t>
      </w:r>
      <w:r w:rsidRPr="00313778">
        <w:rPr>
          <w:rFonts w:ascii="Microsoft Sans Serif" w:hAnsi="Microsoft Sans Serif" w:cs="Microsoft Sans Serif"/>
        </w:rPr>
        <w:tab/>
        <w:t>Potencjał rynku i konkurencyjność.</w:t>
      </w:r>
    </w:p>
    <w:p w:rsidR="00737C26" w:rsidRPr="00313778" w:rsidRDefault="00737C26" w:rsidP="00737C26">
      <w:pPr>
        <w:rPr>
          <w:rFonts w:ascii="Microsoft Sans Serif" w:hAnsi="Microsoft Sans Serif" w:cs="Microsoft Sans Serif"/>
        </w:rPr>
      </w:pPr>
    </w:p>
    <w:p w:rsidR="00737C26" w:rsidRPr="00313778" w:rsidRDefault="00737C26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i/>
        </w:rPr>
        <w:t>4.   Selekcja i przyznanie środków</w:t>
      </w:r>
      <w:r w:rsidRPr="00313778">
        <w:rPr>
          <w:rFonts w:ascii="Microsoft Sans Serif" w:hAnsi="Microsoft Sans Serif" w:cs="Microsoft Sans Serif"/>
        </w:rPr>
        <w:t xml:space="preserve"> </w:t>
      </w:r>
    </w:p>
    <w:p w:rsidR="00871D76" w:rsidRPr="00313778" w:rsidRDefault="00871D76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Za powyższe k</w:t>
      </w:r>
      <w:r w:rsidR="00EC541B" w:rsidRPr="00313778">
        <w:rPr>
          <w:rFonts w:ascii="Microsoft Sans Serif" w:hAnsi="Microsoft Sans Serif" w:cs="Microsoft Sans Serif"/>
        </w:rPr>
        <w:t xml:space="preserve">ryteria oceny </w:t>
      </w:r>
      <w:r w:rsidRPr="00313778">
        <w:rPr>
          <w:rFonts w:ascii="Microsoft Sans Serif" w:hAnsi="Microsoft Sans Serif" w:cs="Microsoft Sans Serif"/>
        </w:rPr>
        <w:t>będzie można otrzymać punkty od 1 do 6 (1 - najniższa punktacja, 6 – najwyższa).  Uzyskane punkty będą podstawą do stworzenia profilu oceny.  Każde z kryteriów oceny może być krytycznym czynnikiem uzyskania pomyślnego wyniku, czynnikiem, który może</w:t>
      </w:r>
      <w:r w:rsidR="000C3F4E" w:rsidRPr="00313778">
        <w:rPr>
          <w:rFonts w:ascii="Microsoft Sans Serif" w:hAnsi="Microsoft Sans Serif" w:cs="Microsoft Sans Serif"/>
        </w:rPr>
        <w:t xml:space="preserve"> mieć wpływ na akceptację </w:t>
      </w:r>
      <w:r w:rsidRPr="00313778">
        <w:rPr>
          <w:rFonts w:ascii="Microsoft Sans Serif" w:hAnsi="Microsoft Sans Serif" w:cs="Microsoft Sans Serif"/>
        </w:rPr>
        <w:t>całe</w:t>
      </w:r>
      <w:r w:rsidR="000C3F4E" w:rsidRPr="00313778">
        <w:rPr>
          <w:rFonts w:ascii="Microsoft Sans Serif" w:hAnsi="Microsoft Sans Serif" w:cs="Microsoft Sans Serif"/>
        </w:rPr>
        <w:t>go</w:t>
      </w:r>
      <w:r w:rsidRPr="00313778">
        <w:rPr>
          <w:rFonts w:ascii="Microsoft Sans Serif" w:hAnsi="Microsoft Sans Serif" w:cs="Microsoft Sans Serif"/>
        </w:rPr>
        <w:t xml:space="preserve"> projekt</w:t>
      </w:r>
      <w:r w:rsidR="000C3F4E" w:rsidRPr="00313778">
        <w:rPr>
          <w:rFonts w:ascii="Microsoft Sans Serif" w:hAnsi="Microsoft Sans Serif" w:cs="Microsoft Sans Serif"/>
        </w:rPr>
        <w:t>u</w:t>
      </w:r>
      <w:r w:rsidRPr="00313778">
        <w:rPr>
          <w:rFonts w:ascii="Microsoft Sans Serif" w:hAnsi="Microsoft Sans Serif" w:cs="Microsoft Sans Serif"/>
        </w:rPr>
        <w:t xml:space="preserve">.  Profil </w:t>
      </w:r>
      <w:r w:rsidR="006B15F2" w:rsidRPr="00313778">
        <w:rPr>
          <w:rFonts w:ascii="Microsoft Sans Serif" w:hAnsi="Microsoft Sans Serif" w:cs="Microsoft Sans Serif"/>
        </w:rPr>
        <w:t xml:space="preserve">z </w:t>
      </w:r>
      <w:r w:rsidRPr="00313778">
        <w:rPr>
          <w:rFonts w:ascii="Microsoft Sans Serif" w:hAnsi="Microsoft Sans Serif" w:cs="Microsoft Sans Serif"/>
        </w:rPr>
        <w:t>punktacji będzie podstawą do priorytetowania propozycji projektów.</w:t>
      </w:r>
    </w:p>
    <w:p w:rsidR="00871D76" w:rsidRPr="00313778" w:rsidRDefault="00871D76" w:rsidP="00737C26">
      <w:pPr>
        <w:rPr>
          <w:rFonts w:ascii="Microsoft Sans Serif" w:hAnsi="Microsoft Sans Serif" w:cs="Microsoft Sans Serif"/>
        </w:rPr>
      </w:pPr>
    </w:p>
    <w:p w:rsidR="00871D76" w:rsidRPr="00313778" w:rsidRDefault="006B15F2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Zgodnie z g</w:t>
      </w:r>
      <w:r w:rsidR="00871D76" w:rsidRPr="00313778">
        <w:rPr>
          <w:rFonts w:ascii="Microsoft Sans Serif" w:hAnsi="Microsoft Sans Serif" w:cs="Microsoft Sans Serif"/>
        </w:rPr>
        <w:t xml:space="preserve">łówną zasadą </w:t>
      </w:r>
      <w:r w:rsidRPr="00313778">
        <w:rPr>
          <w:rFonts w:ascii="Microsoft Sans Serif" w:hAnsi="Microsoft Sans Serif" w:cs="Microsoft Sans Serif"/>
        </w:rPr>
        <w:t>selekcji,</w:t>
      </w:r>
      <w:r w:rsidR="00871D76" w:rsidRPr="00313778">
        <w:rPr>
          <w:rFonts w:ascii="Microsoft Sans Serif" w:hAnsi="Microsoft Sans Serif" w:cs="Microsoft Sans Serif"/>
        </w:rPr>
        <w:t xml:space="preserve"> projekty o najwyższej punktacji uzyskanej w wyniku procesu oceny będą miały największe szanse na przyznanie </w:t>
      </w:r>
      <w:r w:rsidR="00BA1217" w:rsidRPr="00313778">
        <w:rPr>
          <w:rFonts w:ascii="Microsoft Sans Serif" w:hAnsi="Microsoft Sans Serif" w:cs="Microsoft Sans Serif"/>
        </w:rPr>
        <w:t>dofinansowania</w:t>
      </w:r>
      <w:r w:rsidR="00871D76" w:rsidRPr="00313778">
        <w:rPr>
          <w:rFonts w:ascii="Microsoft Sans Serif" w:hAnsi="Microsoft Sans Serif" w:cs="Microsoft Sans Serif"/>
        </w:rPr>
        <w:t xml:space="preserve">.  </w:t>
      </w:r>
    </w:p>
    <w:p w:rsidR="00871D76" w:rsidRPr="00313778" w:rsidRDefault="00871D76" w:rsidP="00737C26">
      <w:pPr>
        <w:rPr>
          <w:rFonts w:ascii="Microsoft Sans Serif" w:hAnsi="Microsoft Sans Serif" w:cs="Microsoft Sans Serif"/>
        </w:rPr>
      </w:pPr>
    </w:p>
    <w:p w:rsidR="00871D76" w:rsidRPr="00313778" w:rsidRDefault="00871D76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 dokonaniu oceny wniosku projektowego, Innovation Norway podejmie ostateczną decyzję o przyznaniu środków.  Wnioskodawcy zostaną poinformowani o decyzji Innovation Norway dotyczącej poparcia lub odrzucenia ich wniosku.</w:t>
      </w:r>
    </w:p>
    <w:p w:rsidR="00737C26" w:rsidRPr="00313778" w:rsidRDefault="00871D76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Wszyscy wnioskodawcy </w:t>
      </w:r>
      <w:r w:rsidR="00E37128" w:rsidRPr="00313778">
        <w:rPr>
          <w:rFonts w:ascii="Microsoft Sans Serif" w:hAnsi="Microsoft Sans Serif" w:cs="Microsoft Sans Serif"/>
        </w:rPr>
        <w:t xml:space="preserve">otrzymają informacje o statusie oceny ich wniosków projektowych w terminie około 5 miesięcy od zamknięcia naboru wniosków.  Lista zatwierdzonych projektów zostanie opublikowana na stronie internetowej Programu.  </w:t>
      </w: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Dodatkowe informacje dotyczące kryteriów i metodologii oceny projektów można znaleźć na stronie internetowej Programu </w:t>
      </w:r>
      <w:hyperlink r:id="rId12" w:history="1">
        <w:r w:rsidRPr="00313778">
          <w:rPr>
            <w:rStyle w:val="Hipercze"/>
            <w:rFonts w:ascii="Microsoft Sans Serif" w:hAnsi="Microsoft Sans Serif" w:cs="Microsoft Sans Serif"/>
          </w:rPr>
          <w:t>www.norwaygrants-greeninnovation.no</w:t>
        </w:r>
      </w:hyperlink>
      <w:r w:rsidRPr="00313778">
        <w:rPr>
          <w:rFonts w:ascii="Microsoft Sans Serif" w:hAnsi="Microsoft Sans Serif" w:cs="Microsoft Sans Serif"/>
        </w:rPr>
        <w:t xml:space="preserve"> </w:t>
      </w:r>
    </w:p>
    <w:p w:rsidR="00E37128" w:rsidRPr="00313778" w:rsidRDefault="00E37128" w:rsidP="00E37128">
      <w:pPr>
        <w:pStyle w:val="Nagwek1"/>
      </w:pPr>
      <w:bookmarkStart w:id="15" w:name="_Toc381611298"/>
      <w:r w:rsidRPr="00313778">
        <w:t>11.  Sposób płatności</w:t>
      </w:r>
      <w:bookmarkEnd w:id="15"/>
      <w:r w:rsidRPr="00313778">
        <w:t xml:space="preserve"> </w:t>
      </w: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Wsparcie finansowe zostanie udzielone w formie </w:t>
      </w:r>
      <w:r w:rsidR="00E77577" w:rsidRPr="00313778">
        <w:rPr>
          <w:rFonts w:ascii="Microsoft Sans Serif" w:hAnsi="Microsoft Sans Serif" w:cs="Microsoft Sans Serif"/>
        </w:rPr>
        <w:t>refundacji</w:t>
      </w:r>
      <w:r w:rsidRPr="00313778">
        <w:rPr>
          <w:rFonts w:ascii="Microsoft Sans Serif" w:hAnsi="Microsoft Sans Serif" w:cs="Microsoft Sans Serif"/>
        </w:rPr>
        <w:t xml:space="preserve"> już poniesionych udokumentowanych kosztów zgodnie z ustalonym planem </w:t>
      </w:r>
      <w:r w:rsidR="00E77577" w:rsidRPr="00313778">
        <w:rPr>
          <w:rFonts w:ascii="Microsoft Sans Serif" w:hAnsi="Microsoft Sans Serif" w:cs="Microsoft Sans Serif"/>
        </w:rPr>
        <w:t>wydatków</w:t>
      </w:r>
      <w:r w:rsidRPr="00313778">
        <w:rPr>
          <w:rFonts w:ascii="Microsoft Sans Serif" w:hAnsi="Microsoft Sans Serif" w:cs="Microsoft Sans Serif"/>
        </w:rPr>
        <w:t xml:space="preserve">.  </w:t>
      </w: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</w:p>
    <w:p w:rsidR="00E37128" w:rsidRPr="00313778" w:rsidRDefault="00E37128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Promotor projektu (Wnioskodawca)</w:t>
      </w:r>
      <w:r w:rsidR="00900074">
        <w:rPr>
          <w:rFonts w:ascii="Microsoft Sans Serif" w:hAnsi="Microsoft Sans Serif" w:cs="Microsoft Sans Serif"/>
        </w:rPr>
        <w:t xml:space="preserve"> </w:t>
      </w:r>
      <w:r w:rsidR="00CE4A33" w:rsidRPr="00313778">
        <w:rPr>
          <w:rFonts w:ascii="Microsoft Sans Serif" w:hAnsi="Microsoft Sans Serif" w:cs="Microsoft Sans Serif"/>
        </w:rPr>
        <w:t>ma możliwość ubiegania się o zaliczkę zgodnie z wymaganiami określonymi w Zasadach i procedurach.</w:t>
      </w:r>
    </w:p>
    <w:p w:rsidR="00CE4A33" w:rsidRPr="00313778" w:rsidRDefault="00CE4A33" w:rsidP="00737C26">
      <w:pPr>
        <w:rPr>
          <w:rFonts w:ascii="Microsoft Sans Serif" w:hAnsi="Microsoft Sans Serif" w:cs="Microsoft Sans Serif"/>
        </w:rPr>
      </w:pPr>
    </w:p>
    <w:p w:rsidR="00CE4A33" w:rsidRPr="00313778" w:rsidRDefault="00CE4A33" w:rsidP="00737C26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Płatności okresowe będą dokonywane na podstawie raportów okresowych zawierających opis wyników i oddziaływania projektu wraz ze sprawozdaniem finansowym.  Wszystkie sprawozdania finansowe dotyczące wydatków zgłaszanych w raportach z projektu muszą być potwierdzone przez biegłego rewidenta, wymagania dotyczące audytu będą szczegółowo określone w Umowie Projektu.</w:t>
      </w:r>
    </w:p>
    <w:p w:rsidR="00CE4A33" w:rsidRPr="00313778" w:rsidRDefault="000634D5" w:rsidP="009D3994">
      <w:pPr>
        <w:spacing w:line="240" w:lineRule="auto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Kontrakt</w:t>
      </w:r>
      <w:r w:rsidR="00281C06" w:rsidRPr="00313778">
        <w:rPr>
          <w:rFonts w:ascii="Microsoft Sans Serif" w:hAnsi="Microsoft Sans Serif" w:cs="Microsoft Sans Serif"/>
        </w:rPr>
        <w:t>acja</w:t>
      </w:r>
      <w:r w:rsidRPr="00313778">
        <w:rPr>
          <w:rFonts w:ascii="Microsoft Sans Serif" w:hAnsi="Microsoft Sans Serif" w:cs="Microsoft Sans Serif"/>
        </w:rPr>
        <w:t xml:space="preserve"> </w:t>
      </w:r>
      <w:r w:rsidR="009D3994" w:rsidRPr="00313778">
        <w:rPr>
          <w:rFonts w:ascii="Microsoft Sans Serif" w:hAnsi="Microsoft Sans Serif" w:cs="Microsoft Sans Serif"/>
        </w:rPr>
        <w:t>i płatności będą dokonywane w Euro (Є).</w:t>
      </w:r>
    </w:p>
    <w:p w:rsidR="009D3994" w:rsidRPr="00313778" w:rsidRDefault="000634D5" w:rsidP="009D3994">
      <w:pPr>
        <w:spacing w:line="240" w:lineRule="auto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Wnioski o płatność</w:t>
      </w:r>
      <w:r w:rsidR="009D3994" w:rsidRPr="00313778">
        <w:rPr>
          <w:rFonts w:ascii="Microsoft Sans Serif" w:hAnsi="Microsoft Sans Serif" w:cs="Microsoft Sans Serif"/>
        </w:rPr>
        <w:t xml:space="preserve"> (włączając zaliczkę) przekazywane </w:t>
      </w:r>
      <w:r w:rsidR="00E77577" w:rsidRPr="00313778">
        <w:rPr>
          <w:rFonts w:ascii="Microsoft Sans Serif" w:hAnsi="Microsoft Sans Serif" w:cs="Microsoft Sans Serif"/>
        </w:rPr>
        <w:t>przez</w:t>
      </w:r>
      <w:r w:rsidR="009D3994" w:rsidRPr="00313778">
        <w:rPr>
          <w:rFonts w:ascii="Microsoft Sans Serif" w:hAnsi="Microsoft Sans Serif" w:cs="Microsoft Sans Serif"/>
        </w:rPr>
        <w:t xml:space="preserve"> Promotora Projektu do Innovation Norway </w:t>
      </w:r>
      <w:r w:rsidR="00AB1C5A" w:rsidRPr="00313778">
        <w:rPr>
          <w:rFonts w:ascii="Microsoft Sans Serif" w:hAnsi="Microsoft Sans Serif" w:cs="Microsoft Sans Serif"/>
        </w:rPr>
        <w:t>mają być wyrażone</w:t>
      </w:r>
      <w:r w:rsidR="009D3994" w:rsidRPr="00313778">
        <w:rPr>
          <w:rFonts w:ascii="Microsoft Sans Serif" w:hAnsi="Microsoft Sans Serif" w:cs="Microsoft Sans Serif"/>
        </w:rPr>
        <w:t xml:space="preserve"> w Euro.  </w:t>
      </w:r>
    </w:p>
    <w:p w:rsidR="00AB1C5A" w:rsidRPr="00313778" w:rsidRDefault="00AB1C5A" w:rsidP="00AB1C5A">
      <w:pPr>
        <w:pStyle w:val="Nagwek1"/>
      </w:pPr>
      <w:bookmarkStart w:id="16" w:name="_Toc381611299"/>
      <w:r w:rsidRPr="00313778">
        <w:t>12.  Procedura składania wniosku</w:t>
      </w:r>
      <w:bookmarkEnd w:id="16"/>
      <w:r w:rsidRPr="00313778">
        <w:t xml:space="preserve"> </w:t>
      </w:r>
    </w:p>
    <w:p w:rsidR="00AB1C5A" w:rsidRPr="00313778" w:rsidRDefault="00AB1C5A" w:rsidP="00737C26">
      <w:pPr>
        <w:ind w:left="993" w:hanging="567"/>
        <w:rPr>
          <w:rFonts w:ascii="Microsoft Sans Serif" w:hAnsi="Microsoft Sans Serif" w:cs="Microsoft Sans Serif"/>
        </w:rPr>
      </w:pPr>
    </w:p>
    <w:p w:rsidR="005B1CAD" w:rsidRPr="00313778" w:rsidRDefault="00AB1C5A" w:rsidP="00AB1C5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Przyjmowane będą tylko wnioski elektroniczne</w:t>
      </w:r>
      <w:r w:rsidR="005B1CAD" w:rsidRPr="00313778">
        <w:rPr>
          <w:rFonts w:ascii="Microsoft Sans Serif" w:hAnsi="Microsoft Sans Serif" w:cs="Microsoft Sans Serif"/>
        </w:rPr>
        <w:t xml:space="preserve"> </w:t>
      </w:r>
      <w:r w:rsidRPr="00313778">
        <w:rPr>
          <w:rFonts w:ascii="Microsoft Sans Serif" w:hAnsi="Microsoft Sans Serif" w:cs="Microsoft Sans Serif"/>
        </w:rPr>
        <w:t xml:space="preserve">w języku angielskim składane do Innovation Norway, Oslo.  Lista obowiązkowych załączników znajduje się w punkcie 13.  </w:t>
      </w:r>
    </w:p>
    <w:p w:rsidR="00AB1C5A" w:rsidRPr="00313778" w:rsidRDefault="00AB1C5A" w:rsidP="00AB1C5A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Wnioski elektroniczne i szablony obowiązkowych dokumentów dodatkowych są dostępne na stronie internetowej Projektu </w:t>
      </w:r>
      <w:hyperlink r:id="rId13" w:history="1">
        <w:r w:rsidRPr="00313778">
          <w:rPr>
            <w:rStyle w:val="Hipercze"/>
            <w:rFonts w:ascii="Microsoft Sans Serif" w:hAnsi="Microsoft Sans Serif" w:cs="Microsoft Sans Serif"/>
          </w:rPr>
          <w:t>www.norwaygrants-greeninnovation.no</w:t>
        </w:r>
      </w:hyperlink>
      <w:r w:rsidR="00002E22">
        <w:rPr>
          <w:rStyle w:val="Hipercze"/>
          <w:rFonts w:ascii="Microsoft Sans Serif" w:hAnsi="Microsoft Sans Serif" w:cs="Microsoft Sans Serif"/>
        </w:rPr>
        <w:t>,</w:t>
      </w:r>
      <w:r w:rsidRPr="00313778">
        <w:rPr>
          <w:rFonts w:ascii="Microsoft Sans Serif" w:hAnsi="Microsoft Sans Serif" w:cs="Microsoft Sans Serif"/>
        </w:rPr>
        <w:t xml:space="preserve"> poprzez którą należy składać wnioski projektowe.  </w:t>
      </w:r>
    </w:p>
    <w:p w:rsidR="00AB1C5A" w:rsidRPr="00313778" w:rsidRDefault="00AB1C5A" w:rsidP="00AB1C5A">
      <w:pPr>
        <w:pStyle w:val="Nagwek1"/>
      </w:pPr>
      <w:bookmarkStart w:id="17" w:name="_Toc381611300"/>
      <w:r w:rsidRPr="00313778">
        <w:t xml:space="preserve">13.  Dokumenty o szczególnym znaczeniu dla naboru / </w:t>
      </w:r>
      <w:r w:rsidR="00E77577" w:rsidRPr="00313778">
        <w:t>informacje</w:t>
      </w:r>
      <w:r w:rsidR="00002E22">
        <w:t xml:space="preserve">, </w:t>
      </w:r>
      <w:r w:rsidR="00E77577" w:rsidRPr="00313778">
        <w:t>z którymi należy się zapoznać</w:t>
      </w:r>
      <w:r w:rsidRPr="00313778">
        <w:t>:</w:t>
      </w:r>
      <w:bookmarkEnd w:id="17"/>
      <w:r w:rsidRPr="00313778">
        <w:t xml:space="preserve">  </w:t>
      </w:r>
    </w:p>
    <w:p w:rsidR="00AB1C5A" w:rsidRPr="00313778" w:rsidRDefault="00AB1C5A" w:rsidP="00AB1C5A">
      <w:pPr>
        <w:rPr>
          <w:rFonts w:ascii="Microsoft Sans Serif" w:hAnsi="Microsoft Sans Serif" w:cs="Microsoft Sans Serif"/>
        </w:rPr>
      </w:pPr>
    </w:p>
    <w:p w:rsidR="00AB1C5A" w:rsidRPr="00313778" w:rsidRDefault="00E77577" w:rsidP="00E77577">
      <w:pPr>
        <w:spacing w:after="6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 fazie przygotowywania wniosku projektowego, p</w:t>
      </w:r>
      <w:r w:rsidR="00AB1C5A" w:rsidRPr="00313778">
        <w:rPr>
          <w:rFonts w:ascii="Microsoft Sans Serif" w:hAnsi="Microsoft Sans Serif" w:cs="Microsoft Sans Serif"/>
        </w:rPr>
        <w:t>oza Ogłoszeniem o naborze wniosków, Wnioskodawcy i ewentualni Partnerzy muszą zapoznać się z następującymi dokumentami:</w:t>
      </w:r>
    </w:p>
    <w:p w:rsidR="00AB1C5A" w:rsidRPr="00313778" w:rsidRDefault="000772C0" w:rsidP="00E77577">
      <w:pPr>
        <w:pStyle w:val="Akapitzlist"/>
        <w:numPr>
          <w:ilvl w:val="0"/>
          <w:numId w:val="10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Streszczenie </w:t>
      </w:r>
      <w:r w:rsidR="00AB1C5A" w:rsidRPr="00313778">
        <w:rPr>
          <w:rFonts w:ascii="Microsoft Sans Serif" w:hAnsi="Microsoft Sans Serif" w:cs="Microsoft Sans Serif"/>
        </w:rPr>
        <w:t xml:space="preserve">Dokumentu Programu </w:t>
      </w:r>
    </w:p>
    <w:p w:rsidR="00AB1C5A" w:rsidRPr="00313778" w:rsidRDefault="00AB1C5A" w:rsidP="00E77577">
      <w:pPr>
        <w:pStyle w:val="Akapitzlist"/>
        <w:numPr>
          <w:ilvl w:val="0"/>
          <w:numId w:val="10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Standardowe </w:t>
      </w:r>
      <w:r w:rsidR="000772C0" w:rsidRPr="00313778">
        <w:rPr>
          <w:rFonts w:ascii="Microsoft Sans Serif" w:hAnsi="Microsoft Sans Serif" w:cs="Microsoft Sans Serif"/>
        </w:rPr>
        <w:t>Zasady i Warunki</w:t>
      </w:r>
      <w:r w:rsidRPr="00313778">
        <w:rPr>
          <w:rFonts w:ascii="Microsoft Sans Serif" w:hAnsi="Microsoft Sans Serif" w:cs="Microsoft Sans Serif"/>
        </w:rPr>
        <w:t xml:space="preserve"> Funduszy Norweskich, których operatorem jest Innovation Norway; </w:t>
      </w:r>
    </w:p>
    <w:p w:rsidR="00AB1C5A" w:rsidRPr="00313778" w:rsidRDefault="00AB1C5A" w:rsidP="00E77577">
      <w:pPr>
        <w:pStyle w:val="Akapitzlist"/>
        <w:numPr>
          <w:ilvl w:val="0"/>
          <w:numId w:val="10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Zasady i procedury wdrażania Programu Innowacji w zakresie zielonych technologii</w:t>
      </w:r>
      <w:r w:rsidR="00650284" w:rsidRPr="00313778">
        <w:rPr>
          <w:rFonts w:ascii="Microsoft Sans Serif" w:hAnsi="Microsoft Sans Serif" w:cs="Microsoft Sans Serif"/>
        </w:rPr>
        <w:t xml:space="preserve"> w Polsce;</w:t>
      </w:r>
    </w:p>
    <w:p w:rsidR="00650284" w:rsidRPr="00313778" w:rsidRDefault="000772C0" w:rsidP="00E77577">
      <w:pPr>
        <w:pStyle w:val="Akapitzlist"/>
        <w:numPr>
          <w:ilvl w:val="0"/>
          <w:numId w:val="10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Instrukcje </w:t>
      </w:r>
      <w:r w:rsidR="00650284" w:rsidRPr="00313778">
        <w:rPr>
          <w:rFonts w:ascii="Microsoft Sans Serif" w:hAnsi="Microsoft Sans Serif" w:cs="Microsoft Sans Serif"/>
        </w:rPr>
        <w:t>dotyczące Formularza wniosku;</w:t>
      </w:r>
    </w:p>
    <w:p w:rsidR="00650284" w:rsidRPr="00313778" w:rsidRDefault="00650284" w:rsidP="00650284">
      <w:pPr>
        <w:rPr>
          <w:rFonts w:ascii="Microsoft Sans Serif" w:hAnsi="Microsoft Sans Serif" w:cs="Microsoft Sans Serif"/>
        </w:rPr>
      </w:pPr>
    </w:p>
    <w:p w:rsidR="00650284" w:rsidRPr="00313778" w:rsidRDefault="00650284" w:rsidP="00E77577">
      <w:pPr>
        <w:spacing w:after="6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Następujące dokumenty są obowiązkowymi załącznikami do elektronicznego formularza wniosku, należy je złożyć w języku angielskim, o ile nie podano innych instrukcji: 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Szablon – Plan realizacji projektu;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Szablon – Szczegółowy budżet zadaniowy; 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Szablon – Plan wydatków;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Szablon – Plan </w:t>
      </w:r>
      <w:r w:rsidR="000634D5" w:rsidRPr="00313778">
        <w:rPr>
          <w:rFonts w:ascii="Microsoft Sans Serif" w:hAnsi="Microsoft Sans Serif" w:cs="Microsoft Sans Serif"/>
        </w:rPr>
        <w:t>zamówień</w:t>
      </w:r>
      <w:r w:rsidRPr="00313778">
        <w:rPr>
          <w:rFonts w:ascii="Microsoft Sans Serif" w:hAnsi="Microsoft Sans Serif" w:cs="Microsoft Sans Serif"/>
        </w:rPr>
        <w:t>;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Szablon – </w:t>
      </w:r>
      <w:r w:rsidR="00E77577" w:rsidRPr="00313778">
        <w:rPr>
          <w:rFonts w:ascii="Microsoft Sans Serif" w:hAnsi="Microsoft Sans Serif" w:cs="Microsoft Sans Serif"/>
        </w:rPr>
        <w:t>Zobowiązanie do realizacji projektu</w:t>
      </w:r>
      <w:r w:rsidRPr="00313778">
        <w:rPr>
          <w:rFonts w:ascii="Microsoft Sans Serif" w:hAnsi="Microsoft Sans Serif" w:cs="Microsoft Sans Serif"/>
        </w:rPr>
        <w:t>, również dla Partnera (jeśli dotyczy);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Szablon – Umowa Partnerska (jeśli dotyczy);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Plan promocji projektu; 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Istotne zaświadczenia </w:t>
      </w:r>
      <w:r w:rsidR="00E77577" w:rsidRPr="00313778">
        <w:rPr>
          <w:rFonts w:ascii="Microsoft Sans Serif" w:hAnsi="Microsoft Sans Serif" w:cs="Microsoft Sans Serif"/>
        </w:rPr>
        <w:t>o rejestracji</w:t>
      </w:r>
      <w:r w:rsidRPr="00313778">
        <w:rPr>
          <w:rFonts w:ascii="Microsoft Sans Serif" w:hAnsi="Microsoft Sans Serif" w:cs="Microsoft Sans Serif"/>
        </w:rPr>
        <w:t xml:space="preserve"> (wyciąg z KRSu lub CEIDG – po polsku) – dla partnerów z Norwegii jest to dostępne ze źródeł publicznych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Oświadczenie o niekaralności i niezaleganiu z podatkami; (deklaracja własna)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CV członków zespołu zarządzającego projektem; koordynatora, </w:t>
      </w:r>
      <w:r w:rsidR="00002E22" w:rsidRPr="00313778">
        <w:rPr>
          <w:rFonts w:ascii="Microsoft Sans Serif" w:hAnsi="Microsoft Sans Serif" w:cs="Microsoft Sans Serif"/>
        </w:rPr>
        <w:t>specjalistów finansowych</w:t>
      </w:r>
      <w:r w:rsidRPr="00313778">
        <w:rPr>
          <w:rFonts w:ascii="Microsoft Sans Serif" w:hAnsi="Microsoft Sans Serif" w:cs="Microsoft Sans Serif"/>
        </w:rPr>
        <w:t xml:space="preserve">/technicznych/innych 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Poświadczone roczne sprawozdania finansowe (po polsku) za rok 2011 i 2012 </w:t>
      </w:r>
    </w:p>
    <w:p w:rsidR="00650284" w:rsidRPr="00313778" w:rsidRDefault="00650284" w:rsidP="00E77577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Szablon – Dokument Projektu/Biznesplan</w:t>
      </w:r>
    </w:p>
    <w:p w:rsidR="00650284" w:rsidRPr="00313778" w:rsidRDefault="00650284" w:rsidP="00650284">
      <w:pPr>
        <w:rPr>
          <w:rFonts w:ascii="Microsoft Sans Serif" w:hAnsi="Microsoft Sans Serif" w:cs="Microsoft Sans Serif"/>
        </w:rPr>
      </w:pPr>
    </w:p>
    <w:p w:rsidR="00650284" w:rsidRPr="00313778" w:rsidRDefault="00650284" w:rsidP="00E77577">
      <w:pPr>
        <w:spacing w:after="6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Niektóre linki do przydatnych</w:t>
      </w:r>
      <w:r w:rsidR="00CC44D7" w:rsidRPr="00313778">
        <w:rPr>
          <w:rFonts w:ascii="Microsoft Sans Serif" w:hAnsi="Microsoft Sans Serif" w:cs="Microsoft Sans Serif"/>
        </w:rPr>
        <w:t xml:space="preserve"> dokumentów </w:t>
      </w:r>
      <w:r w:rsidRPr="00313778">
        <w:rPr>
          <w:rFonts w:ascii="Microsoft Sans Serif" w:hAnsi="Microsoft Sans Serif" w:cs="Microsoft Sans Serif"/>
        </w:rPr>
        <w:t>/</w:t>
      </w:r>
      <w:r w:rsidR="00CC44D7" w:rsidRPr="00313778">
        <w:rPr>
          <w:rFonts w:ascii="Microsoft Sans Serif" w:hAnsi="Microsoft Sans Serif" w:cs="Microsoft Sans Serif"/>
        </w:rPr>
        <w:t>ważnych do przeczytania informacji są również dostępne na stronie internetowej Programu: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Informacje dotyczące pomocy publicznej (Ogólne Rozporządzenie w Sprawie Wyłączeń Blokowych);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Vademecum pomocy publicznej;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Polskie przepisy dotyczące zamówień publicznych;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  <w:lang w:val="nb-NO"/>
        </w:rPr>
      </w:pPr>
      <w:r w:rsidRPr="00313778">
        <w:rPr>
          <w:rFonts w:ascii="Microsoft Sans Serif" w:hAnsi="Microsoft Sans Serif" w:cs="Microsoft Sans Serif"/>
          <w:lang w:val="nb-NO"/>
        </w:rPr>
        <w:t xml:space="preserve">Sieć Enterprise Europe Network Polska; 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  <w:lang w:val="nb-NO"/>
        </w:rPr>
      </w:pPr>
      <w:r w:rsidRPr="00313778">
        <w:rPr>
          <w:rFonts w:ascii="Microsoft Sans Serif" w:hAnsi="Microsoft Sans Serif" w:cs="Microsoft Sans Serif"/>
          <w:lang w:val="nb-NO"/>
        </w:rPr>
        <w:t>Portal handlu norweskiego;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Wytyczne dla potencjalnych partnerów z państwa darczyńcy (Norwegia)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Informacje po polsku na temat Funduszy Norweskich w Polsce – Ministerstwo Infrastruktury i Rozwoju;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Ambasada Królestwa Norwegii w Polsce;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Fundusze Norweskie i Fundusze EOG;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Przykład biznesplanu;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Krajowa Izba Gospodarcza;</w:t>
      </w:r>
    </w:p>
    <w:p w:rsidR="00CC44D7" w:rsidRPr="00313778" w:rsidRDefault="00CC44D7" w:rsidP="00E77577">
      <w:pPr>
        <w:pStyle w:val="Akapitzlist"/>
        <w:numPr>
          <w:ilvl w:val="0"/>
          <w:numId w:val="12"/>
        </w:numPr>
        <w:spacing w:after="60"/>
        <w:contextualSpacing w:val="0"/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Norwesko-Polska Izba Gospodarcza.</w:t>
      </w:r>
    </w:p>
    <w:p w:rsidR="00CC44D7" w:rsidRPr="00313778" w:rsidRDefault="00CC44D7" w:rsidP="00CC44D7">
      <w:pPr>
        <w:pStyle w:val="Nagwek1"/>
      </w:pPr>
      <w:bookmarkStart w:id="18" w:name="_Toc381611301"/>
      <w:r w:rsidRPr="00313778">
        <w:t>14.   Zapytania</w:t>
      </w:r>
      <w:bookmarkEnd w:id="18"/>
      <w:r w:rsidRPr="00313778">
        <w:t xml:space="preserve"> </w:t>
      </w:r>
    </w:p>
    <w:p w:rsidR="00CC44D7" w:rsidRPr="00313778" w:rsidRDefault="00CC44D7" w:rsidP="00CC44D7">
      <w:pPr>
        <w:rPr>
          <w:rFonts w:ascii="Microsoft Sans Serif" w:hAnsi="Microsoft Sans Serif" w:cs="Microsoft Sans Serif"/>
        </w:rPr>
      </w:pPr>
    </w:p>
    <w:p w:rsidR="008F3BC4" w:rsidRPr="00313778" w:rsidRDefault="00F53F3B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Odpowiedzi na pytania i/lub prośby o dalsze wyjaśnienia </w:t>
      </w:r>
      <w:r w:rsidR="008F3BC4" w:rsidRPr="00313778">
        <w:rPr>
          <w:rFonts w:ascii="Microsoft Sans Serif" w:hAnsi="Microsoft Sans Serif" w:cs="Microsoft Sans Serif"/>
        </w:rPr>
        <w:t xml:space="preserve">będą udzielane na piśmie.  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Prosimy o korzystanie z adresu poczty elektronicznej Programu: </w:t>
      </w:r>
    </w:p>
    <w:p w:rsidR="00CC44D7" w:rsidRPr="00313778" w:rsidRDefault="00CE4992" w:rsidP="00CC44D7">
      <w:pPr>
        <w:rPr>
          <w:rFonts w:ascii="Microsoft Sans Serif" w:hAnsi="Microsoft Sans Serif" w:cs="Microsoft Sans Serif"/>
        </w:rPr>
      </w:pPr>
      <w:hyperlink r:id="rId14" w:history="1">
        <w:r w:rsidR="008F3BC4" w:rsidRPr="00313778">
          <w:rPr>
            <w:rStyle w:val="Hipercze"/>
            <w:rFonts w:ascii="Microsoft Sans Serif" w:hAnsi="Microsoft Sans Serif" w:cs="Microsoft Sans Serif"/>
          </w:rPr>
          <w:t>poland@norwaygrants-greeninnovation.no</w:t>
        </w:r>
      </w:hyperlink>
      <w:r w:rsidR="008F3BC4" w:rsidRPr="00313778">
        <w:rPr>
          <w:rFonts w:ascii="Microsoft Sans Serif" w:hAnsi="Microsoft Sans Serif" w:cs="Microsoft Sans Serif"/>
        </w:rPr>
        <w:t xml:space="preserve"> do środy 28 maja 2014 r. Czas udzielenia odpowiedzi na zapytania wynosi zwykle 3-5 dni roboczych.  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Sekcja Często Zadawane Pytania (FAQ) zostanie opublikowana na stronie internetowej Programu na podstawie pytań otrzymanych od potencjalnych wnioskodawców i partnerów.  FAQ będą regularnie uaktualniane.  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  <w:b/>
        </w:rPr>
        <w:t>Więcej informacji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Podmioty zainteresowane ubieganiem się o wsparcie finansowe z Programu Zielonych Technologii w Polsce mogą uzyskać wszelkie istotne informacje i formularze wniosków na stronie  </w:t>
      </w:r>
      <w:hyperlink r:id="rId15" w:history="1">
        <w:r w:rsidRPr="00313778">
          <w:rPr>
            <w:rStyle w:val="Hipercze"/>
            <w:rFonts w:ascii="Microsoft Sans Serif" w:hAnsi="Microsoft Sans Serif" w:cs="Microsoft Sans Serif"/>
          </w:rPr>
          <w:t>www.norwaygrants-greeninnovation.no</w:t>
        </w:r>
      </w:hyperlink>
      <w:r w:rsidRPr="00313778">
        <w:rPr>
          <w:rFonts w:ascii="Microsoft Sans Serif" w:hAnsi="Microsoft Sans Serif" w:cs="Microsoft Sans Serif"/>
        </w:rPr>
        <w:t xml:space="preserve"> 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W celu uzyskania innych informacji prosimy o kontakt z: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  <w:lang w:val="nb-NO"/>
        </w:rPr>
      </w:pPr>
      <w:r w:rsidRPr="00313778">
        <w:rPr>
          <w:rFonts w:ascii="Microsoft Sans Serif" w:hAnsi="Microsoft Sans Serif" w:cs="Microsoft Sans Serif"/>
          <w:lang w:val="nb-NO"/>
        </w:rPr>
        <w:t>p.  Knut Ringstad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Dyrektor Programu 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Innovation Norway, Oslo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Tel: +47 41658524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p. Ewa Kwast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Starszy Doradca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Innovation Norway, Warszawa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>Tel: + 48 225810585</w:t>
      </w:r>
    </w:p>
    <w:p w:rsidR="008F3BC4" w:rsidRPr="00313778" w:rsidRDefault="008F3BC4" w:rsidP="00CC44D7">
      <w:pPr>
        <w:rPr>
          <w:rFonts w:ascii="Microsoft Sans Serif" w:hAnsi="Microsoft Sans Serif" w:cs="Microsoft Sans Serif"/>
        </w:rPr>
      </w:pPr>
    </w:p>
    <w:p w:rsidR="008F3BC4" w:rsidRPr="00313778" w:rsidRDefault="003D6C85" w:rsidP="008F3BC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</w:t>
      </w:r>
      <w:r w:rsidR="008F3BC4" w:rsidRPr="00313778">
        <w:rPr>
          <w:rFonts w:ascii="Microsoft Sans Serif" w:hAnsi="Microsoft Sans Serif" w:cs="Microsoft Sans Serif"/>
        </w:rPr>
        <w:t xml:space="preserve">dres poczty elektronicznej Programu: </w:t>
      </w:r>
      <w:hyperlink r:id="rId16" w:history="1">
        <w:r w:rsidR="008F3BC4" w:rsidRPr="00313778">
          <w:rPr>
            <w:rStyle w:val="Hipercze"/>
            <w:rFonts w:ascii="Microsoft Sans Serif" w:hAnsi="Microsoft Sans Serif" w:cs="Microsoft Sans Serif"/>
          </w:rPr>
          <w:t>poland@norwaygrants-greeninnovation.no</w:t>
        </w:r>
      </w:hyperlink>
      <w:r w:rsidR="0003613A" w:rsidRPr="00313778">
        <w:rPr>
          <w:rFonts w:ascii="Microsoft Sans Serif" w:hAnsi="Microsoft Sans Serif" w:cs="Microsoft Sans Serif"/>
        </w:rPr>
        <w:t xml:space="preserve"> </w:t>
      </w:r>
    </w:p>
    <w:p w:rsidR="0003613A" w:rsidRPr="00313778" w:rsidRDefault="0003613A" w:rsidP="008F3BC4">
      <w:pPr>
        <w:rPr>
          <w:rFonts w:ascii="Microsoft Sans Serif" w:hAnsi="Microsoft Sans Serif" w:cs="Microsoft Sans Serif"/>
        </w:rPr>
      </w:pPr>
    </w:p>
    <w:p w:rsidR="0003613A" w:rsidRPr="008F3BC4" w:rsidRDefault="0003613A" w:rsidP="008F3BC4">
      <w:pPr>
        <w:rPr>
          <w:rFonts w:ascii="Microsoft Sans Serif" w:hAnsi="Microsoft Sans Serif" w:cs="Microsoft Sans Serif"/>
        </w:rPr>
      </w:pPr>
      <w:r w:rsidRPr="00313778">
        <w:rPr>
          <w:rFonts w:ascii="Microsoft Sans Serif" w:hAnsi="Microsoft Sans Serif" w:cs="Microsoft Sans Serif"/>
        </w:rPr>
        <w:t xml:space="preserve">Więcej informacji na temat Norweskich Mechanizmów Finansowych i Mechanizmów Finansowych EOG dostępnych na: </w:t>
      </w:r>
      <w:hyperlink r:id="rId17" w:history="1">
        <w:r w:rsidRPr="00313778">
          <w:rPr>
            <w:rStyle w:val="Hipercze"/>
            <w:rFonts w:ascii="Microsoft Sans Serif" w:hAnsi="Microsoft Sans Serif" w:cs="Microsoft Sans Serif"/>
          </w:rPr>
          <w:t>www.eeagrants.org</w:t>
        </w:r>
      </w:hyperlink>
      <w:r>
        <w:rPr>
          <w:rFonts w:ascii="Microsoft Sans Serif" w:hAnsi="Microsoft Sans Serif" w:cs="Microsoft Sans Serif"/>
        </w:rPr>
        <w:t xml:space="preserve"> </w:t>
      </w:r>
    </w:p>
    <w:sectPr w:rsidR="0003613A" w:rsidRPr="008F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D5C"/>
    <w:multiLevelType w:val="hybridMultilevel"/>
    <w:tmpl w:val="2E249490"/>
    <w:lvl w:ilvl="0" w:tplc="5CB85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683"/>
    <w:multiLevelType w:val="hybridMultilevel"/>
    <w:tmpl w:val="DB2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6344"/>
    <w:multiLevelType w:val="hybridMultilevel"/>
    <w:tmpl w:val="E19A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57D7"/>
    <w:multiLevelType w:val="hybridMultilevel"/>
    <w:tmpl w:val="2738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EE8"/>
    <w:multiLevelType w:val="hybridMultilevel"/>
    <w:tmpl w:val="FCE68F86"/>
    <w:lvl w:ilvl="0" w:tplc="2B2802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37A75B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533F"/>
    <w:multiLevelType w:val="hybridMultilevel"/>
    <w:tmpl w:val="1C14AE60"/>
    <w:lvl w:ilvl="0" w:tplc="57A836E6">
      <w:start w:val="1"/>
      <w:numFmt w:val="bullet"/>
      <w:lvlText w:val="-"/>
      <w:lvlJc w:val="left"/>
      <w:pPr>
        <w:ind w:left="7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219760C"/>
    <w:multiLevelType w:val="hybridMultilevel"/>
    <w:tmpl w:val="9108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01D7"/>
    <w:multiLevelType w:val="hybridMultilevel"/>
    <w:tmpl w:val="C9D6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B61A8"/>
    <w:multiLevelType w:val="hybridMultilevel"/>
    <w:tmpl w:val="83F4CBB4"/>
    <w:lvl w:ilvl="0" w:tplc="57A836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45A3"/>
    <w:multiLevelType w:val="hybridMultilevel"/>
    <w:tmpl w:val="4AC25862"/>
    <w:lvl w:ilvl="0" w:tplc="2B280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E76F4"/>
    <w:multiLevelType w:val="hybridMultilevel"/>
    <w:tmpl w:val="F1303EA0"/>
    <w:lvl w:ilvl="0" w:tplc="C5F87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42864"/>
    <w:multiLevelType w:val="hybridMultilevel"/>
    <w:tmpl w:val="6C18628C"/>
    <w:lvl w:ilvl="0" w:tplc="57A836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A"/>
    <w:rsid w:val="00002E22"/>
    <w:rsid w:val="00013E83"/>
    <w:rsid w:val="00022941"/>
    <w:rsid w:val="0003613A"/>
    <w:rsid w:val="000422F7"/>
    <w:rsid w:val="00051560"/>
    <w:rsid w:val="000634D5"/>
    <w:rsid w:val="000772C0"/>
    <w:rsid w:val="00082989"/>
    <w:rsid w:val="000B0200"/>
    <w:rsid w:val="000C12A4"/>
    <w:rsid w:val="000C3F4E"/>
    <w:rsid w:val="000F37D4"/>
    <w:rsid w:val="000F3AF4"/>
    <w:rsid w:val="00134D70"/>
    <w:rsid w:val="00172290"/>
    <w:rsid w:val="0018485A"/>
    <w:rsid w:val="00193879"/>
    <w:rsid w:val="001A2391"/>
    <w:rsid w:val="001A5760"/>
    <w:rsid w:val="001E4056"/>
    <w:rsid w:val="00217BE0"/>
    <w:rsid w:val="00247871"/>
    <w:rsid w:val="00260FC7"/>
    <w:rsid w:val="00273B38"/>
    <w:rsid w:val="00281C06"/>
    <w:rsid w:val="00284F47"/>
    <w:rsid w:val="002E3E7B"/>
    <w:rsid w:val="0030419C"/>
    <w:rsid w:val="003131F0"/>
    <w:rsid w:val="00313778"/>
    <w:rsid w:val="0031420D"/>
    <w:rsid w:val="00333BC3"/>
    <w:rsid w:val="00364246"/>
    <w:rsid w:val="00372CA3"/>
    <w:rsid w:val="0037788E"/>
    <w:rsid w:val="003D6C85"/>
    <w:rsid w:val="003F1E72"/>
    <w:rsid w:val="003F3EB3"/>
    <w:rsid w:val="00403600"/>
    <w:rsid w:val="0041225F"/>
    <w:rsid w:val="004244AE"/>
    <w:rsid w:val="00447F0C"/>
    <w:rsid w:val="00452495"/>
    <w:rsid w:val="00454AC2"/>
    <w:rsid w:val="004678F2"/>
    <w:rsid w:val="00494F76"/>
    <w:rsid w:val="00525704"/>
    <w:rsid w:val="00532E31"/>
    <w:rsid w:val="00556A28"/>
    <w:rsid w:val="00563E8F"/>
    <w:rsid w:val="005744E0"/>
    <w:rsid w:val="00586A75"/>
    <w:rsid w:val="005974BF"/>
    <w:rsid w:val="005A1E21"/>
    <w:rsid w:val="005B1CAD"/>
    <w:rsid w:val="005C767F"/>
    <w:rsid w:val="005E6DC3"/>
    <w:rsid w:val="005F3FAA"/>
    <w:rsid w:val="00630E3A"/>
    <w:rsid w:val="0063336D"/>
    <w:rsid w:val="006455B2"/>
    <w:rsid w:val="00650284"/>
    <w:rsid w:val="00692E0A"/>
    <w:rsid w:val="006B15F2"/>
    <w:rsid w:val="006B2B86"/>
    <w:rsid w:val="006B6937"/>
    <w:rsid w:val="006D509E"/>
    <w:rsid w:val="00717EEB"/>
    <w:rsid w:val="0072086C"/>
    <w:rsid w:val="00720D3A"/>
    <w:rsid w:val="00737C26"/>
    <w:rsid w:val="007518E3"/>
    <w:rsid w:val="00753FA8"/>
    <w:rsid w:val="0075664D"/>
    <w:rsid w:val="0076526A"/>
    <w:rsid w:val="00766DCE"/>
    <w:rsid w:val="00776451"/>
    <w:rsid w:val="007B2FBC"/>
    <w:rsid w:val="007E4C07"/>
    <w:rsid w:val="007F5CB1"/>
    <w:rsid w:val="007F5FA5"/>
    <w:rsid w:val="00800F7E"/>
    <w:rsid w:val="00834FC3"/>
    <w:rsid w:val="00871D76"/>
    <w:rsid w:val="00893F3A"/>
    <w:rsid w:val="008C35AD"/>
    <w:rsid w:val="008C6CDF"/>
    <w:rsid w:val="008C792B"/>
    <w:rsid w:val="008F3BC4"/>
    <w:rsid w:val="00900074"/>
    <w:rsid w:val="00900EED"/>
    <w:rsid w:val="00935D8C"/>
    <w:rsid w:val="0093624D"/>
    <w:rsid w:val="009671D0"/>
    <w:rsid w:val="00995BB0"/>
    <w:rsid w:val="009A6E18"/>
    <w:rsid w:val="009D3994"/>
    <w:rsid w:val="009E0B2E"/>
    <w:rsid w:val="009F2759"/>
    <w:rsid w:val="00A04144"/>
    <w:rsid w:val="00A3009C"/>
    <w:rsid w:val="00A54E5F"/>
    <w:rsid w:val="00A944E0"/>
    <w:rsid w:val="00AB1C5A"/>
    <w:rsid w:val="00AF7A3C"/>
    <w:rsid w:val="00B02DE8"/>
    <w:rsid w:val="00B105DB"/>
    <w:rsid w:val="00B1522F"/>
    <w:rsid w:val="00B2756A"/>
    <w:rsid w:val="00B4448C"/>
    <w:rsid w:val="00B46629"/>
    <w:rsid w:val="00B71D0D"/>
    <w:rsid w:val="00B83EEF"/>
    <w:rsid w:val="00BA1217"/>
    <w:rsid w:val="00BE6A32"/>
    <w:rsid w:val="00C17255"/>
    <w:rsid w:val="00C90EAA"/>
    <w:rsid w:val="00CA0A08"/>
    <w:rsid w:val="00CA25AF"/>
    <w:rsid w:val="00CB5536"/>
    <w:rsid w:val="00CC44D7"/>
    <w:rsid w:val="00CD0A65"/>
    <w:rsid w:val="00CD350B"/>
    <w:rsid w:val="00CD7956"/>
    <w:rsid w:val="00CE4992"/>
    <w:rsid w:val="00CE4A33"/>
    <w:rsid w:val="00CF38D4"/>
    <w:rsid w:val="00D052E3"/>
    <w:rsid w:val="00D125AA"/>
    <w:rsid w:val="00D51544"/>
    <w:rsid w:val="00D54A45"/>
    <w:rsid w:val="00D73CB4"/>
    <w:rsid w:val="00DA0E96"/>
    <w:rsid w:val="00DA589F"/>
    <w:rsid w:val="00DC08B2"/>
    <w:rsid w:val="00DE1AB6"/>
    <w:rsid w:val="00E03FE1"/>
    <w:rsid w:val="00E37128"/>
    <w:rsid w:val="00E432A8"/>
    <w:rsid w:val="00E4376D"/>
    <w:rsid w:val="00E7367B"/>
    <w:rsid w:val="00E77577"/>
    <w:rsid w:val="00EA01A0"/>
    <w:rsid w:val="00EC541B"/>
    <w:rsid w:val="00F53808"/>
    <w:rsid w:val="00F53F3B"/>
    <w:rsid w:val="00F81115"/>
    <w:rsid w:val="00F9665F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36D"/>
    <w:pPr>
      <w:keepNext/>
      <w:keepLines/>
      <w:spacing w:before="480"/>
      <w:outlineLvl w:val="0"/>
    </w:pPr>
    <w:rPr>
      <w:rFonts w:ascii="Microsoft Sans Serif" w:eastAsiaTheme="majorEastAsia" w:hAnsi="Microsoft Sans Serif" w:cs="Microsoft Sans Serif"/>
      <w:b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FBC"/>
    <w:pPr>
      <w:keepNext/>
      <w:keepLines/>
      <w:spacing w:after="120"/>
      <w:outlineLvl w:val="1"/>
    </w:pPr>
    <w:rPr>
      <w:rFonts w:asciiTheme="majorHAnsi" w:eastAsiaTheme="majorEastAsia" w:hAnsiTheme="majorHAnsi" w:cs="Microsoft Sans Serif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36D"/>
    <w:rPr>
      <w:rFonts w:ascii="Microsoft Sans Serif" w:eastAsiaTheme="majorEastAsia" w:hAnsi="Microsoft Sans Serif" w:cs="Microsoft Sans Serif"/>
      <w:b/>
      <w:bCs/>
      <w:color w:val="365F91" w:themeColor="accent1" w:themeShade="BF"/>
      <w:sz w:val="24"/>
      <w:szCs w:val="28"/>
    </w:rPr>
  </w:style>
  <w:style w:type="character" w:styleId="Pogrubienie">
    <w:name w:val="Strong"/>
    <w:basedOn w:val="Domylnaczcionkaakapitu"/>
    <w:uiPriority w:val="22"/>
    <w:qFormat/>
    <w:rsid w:val="009F27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6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5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2FBC"/>
    <w:rPr>
      <w:rFonts w:asciiTheme="majorHAnsi" w:eastAsiaTheme="majorEastAsia" w:hAnsiTheme="majorHAnsi" w:cs="Microsoft Sans Serif"/>
      <w:b/>
      <w:bCs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56A28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5154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51544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36D"/>
    <w:pPr>
      <w:keepNext/>
      <w:keepLines/>
      <w:spacing w:before="480"/>
      <w:outlineLvl w:val="0"/>
    </w:pPr>
    <w:rPr>
      <w:rFonts w:ascii="Microsoft Sans Serif" w:eastAsiaTheme="majorEastAsia" w:hAnsi="Microsoft Sans Serif" w:cs="Microsoft Sans Serif"/>
      <w:b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FBC"/>
    <w:pPr>
      <w:keepNext/>
      <w:keepLines/>
      <w:spacing w:after="120"/>
      <w:outlineLvl w:val="1"/>
    </w:pPr>
    <w:rPr>
      <w:rFonts w:asciiTheme="majorHAnsi" w:eastAsiaTheme="majorEastAsia" w:hAnsiTheme="majorHAnsi" w:cs="Microsoft Sans Serif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36D"/>
    <w:rPr>
      <w:rFonts w:ascii="Microsoft Sans Serif" w:eastAsiaTheme="majorEastAsia" w:hAnsi="Microsoft Sans Serif" w:cs="Microsoft Sans Serif"/>
      <w:b/>
      <w:bCs/>
      <w:color w:val="365F91" w:themeColor="accent1" w:themeShade="BF"/>
      <w:sz w:val="24"/>
      <w:szCs w:val="28"/>
    </w:rPr>
  </w:style>
  <w:style w:type="character" w:styleId="Pogrubienie">
    <w:name w:val="Strong"/>
    <w:basedOn w:val="Domylnaczcionkaakapitu"/>
    <w:uiPriority w:val="22"/>
    <w:qFormat/>
    <w:rsid w:val="009F27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6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5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2FBC"/>
    <w:rPr>
      <w:rFonts w:asciiTheme="majorHAnsi" w:eastAsiaTheme="majorEastAsia" w:hAnsiTheme="majorHAnsi" w:cs="Microsoft Sans Serif"/>
      <w:b/>
      <w:bCs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56A28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5154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51544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rwaygrants-greeninnovation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orwaygrants-greeninnovation.no" TargetMode="External"/><Relationship Id="rId17" Type="http://schemas.openxmlformats.org/officeDocument/2006/relationships/hyperlink" Target="http://www.eeagrant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land@norwaygrants-greeninnovatio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competition/state_aid/legislation/block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rwaygrants-greeninnovation.no" TargetMode="External"/><Relationship Id="rId10" Type="http://schemas.openxmlformats.org/officeDocument/2006/relationships/hyperlink" Target="http://ec.europa.eu/enterprise/policies/sme/facts-figures-analysis/sme-defintion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land@norwaygrants-greeninnovation.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E80D5BB80FC4A9D1E2F79A241E31D" ma:contentTypeVersion="1" ma:contentTypeDescription="Utwórz nowy dokument." ma:contentTypeScope="" ma:versionID="f73225f11484018c4bca31e610709ae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96FC-16CB-4026-BC92-3966DFB29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8554-53EB-4156-AE20-4491C5EB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66A15F-C7DE-4FFE-B3C3-932AB742E13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AE1FD1-0C90-4663-9911-6BEF997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4543</Words>
  <Characters>27262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Norway</Company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Innowacje w zakresie zielonych technologii - 15 kwietnia 2014 r.</dc:title>
  <dc:creator>Ela</dc:creator>
  <cp:lastModifiedBy>Katarzyna Kulczynska-Piotrowska</cp:lastModifiedBy>
  <cp:revision>2</cp:revision>
  <cp:lastPrinted>2014-03-14T16:07:00Z</cp:lastPrinted>
  <dcterms:created xsi:type="dcterms:W3CDTF">2015-06-16T10:19:00Z</dcterms:created>
  <dcterms:modified xsi:type="dcterms:W3CDTF">2015-06-16T10:19:00Z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0x01010083DE80D5BB80FC4A9D1E2F79A241E31D</vt:lpwstr>
  </property>
</Properties>
</file>